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5CC775" w14:textId="77777777" w:rsidR="00683AEC" w:rsidRDefault="003867B1">
      <w:r w:rsidRPr="00683AEC">
        <w:rPr>
          <w:noProof/>
          <w:lang w:eastAsia="fr-FR"/>
        </w:rPr>
        <w:drawing>
          <wp:anchor distT="0" distB="0" distL="114300" distR="114300" simplePos="0" relativeHeight="251661312" behindDoc="0" locked="0" layoutInCell="1" allowOverlap="1" wp14:anchorId="381183E4" wp14:editId="12FD8F75">
            <wp:simplePos x="0" y="0"/>
            <wp:positionH relativeFrom="column">
              <wp:posOffset>2786380</wp:posOffset>
            </wp:positionH>
            <wp:positionV relativeFrom="paragraph">
              <wp:posOffset>-3175</wp:posOffset>
            </wp:positionV>
            <wp:extent cx="1165860" cy="474821"/>
            <wp:effectExtent l="0" t="0" r="0" b="1905"/>
            <wp:wrapNone/>
            <wp:docPr id="6" name="Image 5"/>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1165860" cy="4748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59264" behindDoc="0" locked="0" layoutInCell="1" allowOverlap="1" wp14:anchorId="6EAA1442" wp14:editId="0DD82509">
            <wp:simplePos x="0" y="0"/>
            <wp:positionH relativeFrom="column">
              <wp:posOffset>4340860</wp:posOffset>
            </wp:positionH>
            <wp:positionV relativeFrom="paragraph">
              <wp:posOffset>44450</wp:posOffset>
            </wp:positionV>
            <wp:extent cx="1563031" cy="426720"/>
            <wp:effectExtent l="0" t="0" r="0" b="0"/>
            <wp:wrapNone/>
            <wp:docPr id="4" name="Picture 35" descr="E:\Bureau\groupe VISU\2020\EcoSys\Logos Ecoys\logos UMR ecosy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5" descr="E:\Bureau\groupe VISU\2020\EcoSys\Logos Ecoys\logos UMR ecosys.bmp"/>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7661" r="19995" b="64813"/>
                    <a:stretch/>
                  </pic:blipFill>
                  <pic:spPr bwMode="auto">
                    <a:xfrm>
                      <a:off x="0" y="0"/>
                      <a:ext cx="1563031" cy="426720"/>
                    </a:xfrm>
                    <a:prstGeom prst="rect">
                      <a:avLst/>
                    </a:prstGeom>
                    <a:noFill/>
                    <a:extLst/>
                  </pic:spPr>
                </pic:pic>
              </a:graphicData>
            </a:graphic>
            <wp14:sizeRelH relativeFrom="margin">
              <wp14:pctWidth>0</wp14:pctWidth>
            </wp14:sizeRelH>
            <wp14:sizeRelV relativeFrom="margin">
              <wp14:pctHeight>0</wp14:pctHeight>
            </wp14:sizeRelV>
          </wp:anchor>
        </w:drawing>
      </w:r>
      <w:r w:rsidRPr="00683AEC">
        <w:rPr>
          <w:noProof/>
          <w:lang w:eastAsia="fr-FR"/>
        </w:rPr>
        <w:drawing>
          <wp:anchor distT="0" distB="0" distL="114300" distR="114300" simplePos="0" relativeHeight="251662336" behindDoc="0" locked="0" layoutInCell="1" allowOverlap="1" wp14:anchorId="19D45E3D" wp14:editId="032FFFAA">
            <wp:simplePos x="0" y="0"/>
            <wp:positionH relativeFrom="column">
              <wp:posOffset>538480</wp:posOffset>
            </wp:positionH>
            <wp:positionV relativeFrom="paragraph">
              <wp:posOffset>5080</wp:posOffset>
            </wp:positionV>
            <wp:extent cx="1668780" cy="466277"/>
            <wp:effectExtent l="0" t="0" r="7620" b="0"/>
            <wp:wrapNone/>
            <wp:docPr id="1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pic:cNvPicPr>
                      <a:picLocks noChangeAspect="1"/>
                    </pic:cNvPicPr>
                  </pic:nvPicPr>
                  <pic:blipFill rotWithShape="1">
                    <a:blip r:embed="rId7"/>
                    <a:srcRect l="7817" t="50912" r="82738" b="39705"/>
                    <a:stretch/>
                  </pic:blipFill>
                  <pic:spPr>
                    <a:xfrm>
                      <a:off x="0" y="0"/>
                      <a:ext cx="1668780" cy="466277"/>
                    </a:xfrm>
                    <a:prstGeom prst="rect">
                      <a:avLst/>
                    </a:prstGeom>
                  </pic:spPr>
                </pic:pic>
              </a:graphicData>
            </a:graphic>
            <wp14:sizeRelH relativeFrom="margin">
              <wp14:pctWidth>0</wp14:pctWidth>
            </wp14:sizeRelH>
            <wp14:sizeRelV relativeFrom="margin">
              <wp14:pctHeight>0</wp14:pctHeight>
            </wp14:sizeRelV>
          </wp:anchor>
        </w:drawing>
      </w:r>
    </w:p>
    <w:p w14:paraId="6A5C894D" w14:textId="77777777" w:rsidR="00683AEC" w:rsidRDefault="00683AEC">
      <w:r>
        <w:rPr>
          <w:noProof/>
          <w:lang w:eastAsia="fr-FR"/>
        </w:rPr>
        <w:drawing>
          <wp:anchor distT="0" distB="0" distL="114300" distR="114300" simplePos="0" relativeHeight="251658240" behindDoc="0" locked="0" layoutInCell="1" allowOverlap="1" wp14:anchorId="231E7CC4" wp14:editId="63A52AE4">
            <wp:simplePos x="0" y="0"/>
            <wp:positionH relativeFrom="column">
              <wp:posOffset>2611120</wp:posOffset>
            </wp:positionH>
            <wp:positionV relativeFrom="paragraph">
              <wp:posOffset>248920</wp:posOffset>
            </wp:positionV>
            <wp:extent cx="1531620" cy="268709"/>
            <wp:effectExtent l="0" t="0" r="0" b="0"/>
            <wp:wrapNone/>
            <wp:docPr id="2" name="Picture 35" descr="E:\Bureau\groupe VISU\2020\EcoSys\Logos Ecoys\logos UMR ecosy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5" descr="E:\Bureau\groupe VISU\2020\EcoSys\Logos Ecoys\logos UMR ecosys.bmp"/>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3740"/>
                    <a:stretch/>
                  </pic:blipFill>
                  <pic:spPr bwMode="auto">
                    <a:xfrm>
                      <a:off x="0" y="0"/>
                      <a:ext cx="1531620" cy="268709"/>
                    </a:xfrm>
                    <a:prstGeom prst="rect">
                      <a:avLst/>
                    </a:prstGeom>
                    <a:noFill/>
                    <a:extLst/>
                  </pic:spPr>
                </pic:pic>
              </a:graphicData>
            </a:graphic>
            <wp14:sizeRelH relativeFrom="margin">
              <wp14:pctWidth>0</wp14:pctWidth>
            </wp14:sizeRelH>
            <wp14:sizeRelV relativeFrom="margin">
              <wp14:pctHeight>0</wp14:pctHeight>
            </wp14:sizeRelV>
          </wp:anchor>
        </w:drawing>
      </w:r>
    </w:p>
    <w:p w14:paraId="7B0C38D8" w14:textId="77777777" w:rsidR="003867B1" w:rsidRDefault="003867B1"/>
    <w:p w14:paraId="1EEDA990" w14:textId="28D37355" w:rsidR="00683AEC" w:rsidRPr="00746718" w:rsidRDefault="00683AEC" w:rsidP="00746718">
      <w:pPr>
        <w:spacing w:after="0"/>
        <w:rPr>
          <w:sz w:val="18"/>
        </w:rPr>
      </w:pPr>
    </w:p>
    <w:p w14:paraId="52FC43F1" w14:textId="77777777" w:rsidR="00746718" w:rsidRPr="00746718" w:rsidRDefault="00746718" w:rsidP="00746718">
      <w:pPr>
        <w:spacing w:after="0"/>
        <w:rPr>
          <w:sz w:val="18"/>
        </w:rPr>
      </w:pPr>
    </w:p>
    <w:p w14:paraId="1E8EACCA" w14:textId="60FEC899" w:rsidR="0062148B" w:rsidRPr="003867B1" w:rsidRDefault="00AE42DE" w:rsidP="00683AEC">
      <w:pPr>
        <w:jc w:val="center"/>
        <w:rPr>
          <w:b/>
          <w:i/>
          <w:color w:val="008080"/>
          <w:sz w:val="23"/>
          <w:szCs w:val="23"/>
        </w:rPr>
      </w:pPr>
      <w:r>
        <w:rPr>
          <w:b/>
          <w:i/>
          <w:color w:val="008080"/>
          <w:sz w:val="23"/>
          <w:szCs w:val="23"/>
        </w:rPr>
        <w:t>Comparaison des e</w:t>
      </w:r>
      <w:r w:rsidR="00683AEC" w:rsidRPr="003867B1">
        <w:rPr>
          <w:b/>
          <w:i/>
          <w:color w:val="008080"/>
          <w:sz w:val="23"/>
          <w:szCs w:val="23"/>
        </w:rPr>
        <w:t xml:space="preserve">ffets </w:t>
      </w:r>
      <w:r>
        <w:rPr>
          <w:b/>
          <w:i/>
          <w:color w:val="008080"/>
          <w:sz w:val="23"/>
          <w:szCs w:val="23"/>
        </w:rPr>
        <w:t xml:space="preserve">toxiques </w:t>
      </w:r>
      <w:r w:rsidR="00683AEC" w:rsidRPr="003867B1">
        <w:rPr>
          <w:b/>
          <w:i/>
          <w:color w:val="008080"/>
          <w:sz w:val="23"/>
          <w:szCs w:val="23"/>
        </w:rPr>
        <w:t>de</w:t>
      </w:r>
      <w:r>
        <w:rPr>
          <w:b/>
          <w:i/>
          <w:color w:val="008080"/>
          <w:sz w:val="23"/>
          <w:szCs w:val="23"/>
        </w:rPr>
        <w:t xml:space="preserve"> </w:t>
      </w:r>
      <w:r w:rsidR="003875BA">
        <w:rPr>
          <w:b/>
          <w:i/>
          <w:color w:val="008080"/>
          <w:sz w:val="23"/>
          <w:szCs w:val="23"/>
        </w:rPr>
        <w:t>différents</w:t>
      </w:r>
      <w:r>
        <w:rPr>
          <w:b/>
          <w:i/>
          <w:color w:val="008080"/>
          <w:sz w:val="23"/>
          <w:szCs w:val="23"/>
        </w:rPr>
        <w:t xml:space="preserve"> polymères de</w:t>
      </w:r>
      <w:r w:rsidR="00683AEC" w:rsidRPr="003867B1">
        <w:rPr>
          <w:b/>
          <w:i/>
          <w:color w:val="008080"/>
          <w:sz w:val="23"/>
          <w:szCs w:val="23"/>
        </w:rPr>
        <w:t xml:space="preserve"> microplastiques sur </w:t>
      </w:r>
      <w:r>
        <w:rPr>
          <w:b/>
          <w:i/>
          <w:color w:val="008080"/>
          <w:sz w:val="23"/>
          <w:szCs w:val="23"/>
        </w:rPr>
        <w:t>les traits de vie</w:t>
      </w:r>
      <w:r w:rsidR="00683AEC" w:rsidRPr="003867B1">
        <w:rPr>
          <w:b/>
          <w:i/>
          <w:color w:val="008080"/>
          <w:sz w:val="23"/>
          <w:szCs w:val="23"/>
        </w:rPr>
        <w:t xml:space="preserve"> </w:t>
      </w:r>
      <w:r w:rsidR="002B1619" w:rsidRPr="003867B1">
        <w:rPr>
          <w:b/>
          <w:i/>
          <w:color w:val="008080"/>
          <w:sz w:val="23"/>
          <w:szCs w:val="23"/>
        </w:rPr>
        <w:t>des enchytréides</w:t>
      </w:r>
      <w:r w:rsidR="00683AEC" w:rsidRPr="003867B1">
        <w:rPr>
          <w:b/>
          <w:i/>
          <w:color w:val="008080"/>
          <w:sz w:val="23"/>
          <w:szCs w:val="23"/>
        </w:rPr>
        <w:t xml:space="preserve"> dans les sols</w:t>
      </w:r>
    </w:p>
    <w:p w14:paraId="6287930E" w14:textId="77777777" w:rsidR="003867B1" w:rsidRDefault="003867B1" w:rsidP="00336A82">
      <w:pPr>
        <w:spacing w:before="120" w:after="0" w:line="240" w:lineRule="auto"/>
        <w:jc w:val="both"/>
        <w:rPr>
          <w:rFonts w:cstheme="minorHAnsi"/>
          <w:b/>
          <w:color w:val="008080"/>
          <w:sz w:val="20"/>
        </w:rPr>
      </w:pPr>
    </w:p>
    <w:p w14:paraId="0621597B" w14:textId="77777777" w:rsidR="00683AEC" w:rsidRPr="003867B1" w:rsidRDefault="00683AEC" w:rsidP="00336A82">
      <w:pPr>
        <w:spacing w:before="120" w:after="0" w:line="240" w:lineRule="auto"/>
        <w:jc w:val="both"/>
        <w:rPr>
          <w:rFonts w:cstheme="minorHAnsi"/>
          <w:b/>
          <w:color w:val="008080"/>
          <w:sz w:val="20"/>
        </w:rPr>
      </w:pPr>
      <w:r w:rsidRPr="003867B1">
        <w:rPr>
          <w:rFonts w:cstheme="minorHAnsi"/>
          <w:b/>
          <w:color w:val="008080"/>
          <w:sz w:val="20"/>
        </w:rPr>
        <w:t>Contexte et justification</w:t>
      </w:r>
    </w:p>
    <w:p w14:paraId="48726B8C" w14:textId="77777777" w:rsidR="00050597" w:rsidRPr="003867B1" w:rsidRDefault="00683AEC" w:rsidP="00336A82">
      <w:pPr>
        <w:autoSpaceDE w:val="0"/>
        <w:autoSpaceDN w:val="0"/>
        <w:adjustRightInd w:val="0"/>
        <w:spacing w:before="120" w:after="0" w:line="240" w:lineRule="auto"/>
        <w:jc w:val="both"/>
        <w:rPr>
          <w:rFonts w:cstheme="minorHAnsi"/>
          <w:sz w:val="20"/>
        </w:rPr>
      </w:pPr>
      <w:r w:rsidRPr="003867B1">
        <w:rPr>
          <w:rFonts w:cstheme="minorHAnsi"/>
          <w:bCs/>
          <w:sz w:val="20"/>
        </w:rPr>
        <w:t>L</w:t>
      </w:r>
      <w:r w:rsidRPr="003867B1">
        <w:rPr>
          <w:rFonts w:cstheme="minorHAnsi"/>
          <w:sz w:val="20"/>
        </w:rPr>
        <w:t>es microplastiques (&lt;5 mm; MPs) sont présents dans tous les écosystèmes et ont été jusqu'à récemment largement plus étudiés dans les océans. Pourtant, les teneurs en plastiques dans les sols peuvent être jusqu'à 40 fois supérieures</w:t>
      </w:r>
      <w:r w:rsidR="00BF72CE" w:rsidRPr="003867B1">
        <w:rPr>
          <w:rFonts w:cstheme="minorHAnsi"/>
          <w:sz w:val="20"/>
        </w:rPr>
        <w:t xml:space="preserve"> (Piehl et al., 2018)</w:t>
      </w:r>
      <w:r w:rsidRPr="003867B1">
        <w:rPr>
          <w:rFonts w:cstheme="minorHAnsi"/>
          <w:sz w:val="20"/>
        </w:rPr>
        <w:t xml:space="preserve">, s’échelonnant de quelques à plusieurs millions de particules par kg de sol </w:t>
      </w:r>
      <w:r w:rsidR="00BF72CE" w:rsidRPr="003867B1">
        <w:rPr>
          <w:rFonts w:cstheme="minorHAnsi"/>
          <w:sz w:val="20"/>
        </w:rPr>
        <w:t>(Büks. et Kaupenjohann, 2020).</w:t>
      </w:r>
    </w:p>
    <w:p w14:paraId="6894A59C" w14:textId="77777777" w:rsidR="00683AEC" w:rsidRPr="003867B1" w:rsidRDefault="002B1619" w:rsidP="00336A82">
      <w:pPr>
        <w:autoSpaceDE w:val="0"/>
        <w:autoSpaceDN w:val="0"/>
        <w:adjustRightInd w:val="0"/>
        <w:spacing w:before="120" w:after="0" w:line="240" w:lineRule="auto"/>
        <w:jc w:val="both"/>
        <w:rPr>
          <w:rFonts w:cstheme="minorHAnsi"/>
          <w:sz w:val="20"/>
        </w:rPr>
      </w:pPr>
      <w:r w:rsidRPr="003867B1">
        <w:rPr>
          <w:rFonts w:cstheme="minorHAnsi"/>
          <w:sz w:val="20"/>
        </w:rPr>
        <w:t xml:space="preserve">Ces MPs peuvent affecter les organismes du sol et par conséquent le fonctionnement des sols et les services écosystémiques associés. </w:t>
      </w:r>
      <w:r w:rsidR="00BF72CE" w:rsidRPr="003867B1">
        <w:rPr>
          <w:rFonts w:cstheme="minorHAnsi"/>
          <w:sz w:val="20"/>
        </w:rPr>
        <w:t>D</w:t>
      </w:r>
      <w:r w:rsidR="00683AEC" w:rsidRPr="003867B1">
        <w:rPr>
          <w:rFonts w:cstheme="minorHAnsi"/>
          <w:sz w:val="20"/>
        </w:rPr>
        <w:t>ifférents travaux ont mis en évidence des effets négatifs sur l'abondance, la croissance et la diversité de la faune</w:t>
      </w:r>
      <w:r w:rsidR="00BF72CE" w:rsidRPr="003867B1">
        <w:rPr>
          <w:rFonts w:cstheme="minorHAnsi"/>
          <w:sz w:val="20"/>
        </w:rPr>
        <w:t xml:space="preserve"> (</w:t>
      </w:r>
      <w:r w:rsidR="008B53FA" w:rsidRPr="003867B1">
        <w:rPr>
          <w:rFonts w:cstheme="minorHAnsi"/>
          <w:sz w:val="20"/>
        </w:rPr>
        <w:t xml:space="preserve">Kiyama et al, 2012; </w:t>
      </w:r>
      <w:r w:rsidR="00BF72CE" w:rsidRPr="003867B1">
        <w:rPr>
          <w:rFonts w:cstheme="minorHAnsi"/>
          <w:sz w:val="20"/>
        </w:rPr>
        <w:t xml:space="preserve">Cao et al., 2017; </w:t>
      </w:r>
      <w:r w:rsidR="008B53FA" w:rsidRPr="003867B1">
        <w:rPr>
          <w:rFonts w:cstheme="minorHAnsi"/>
          <w:sz w:val="20"/>
        </w:rPr>
        <w:t xml:space="preserve">Rodriguez-Seijo et al., 2017; Kim et al., 2020; </w:t>
      </w:r>
      <w:r w:rsidR="00BF72CE" w:rsidRPr="003867B1">
        <w:rPr>
          <w:rFonts w:cstheme="minorHAnsi"/>
          <w:sz w:val="20"/>
        </w:rPr>
        <w:t>Kwak et An, 2021)</w:t>
      </w:r>
      <w:r w:rsidR="00683AEC" w:rsidRPr="003867B1">
        <w:rPr>
          <w:rFonts w:cstheme="minorHAnsi"/>
          <w:sz w:val="20"/>
          <w:vertAlign w:val="superscript"/>
        </w:rPr>
        <w:t xml:space="preserve"> </w:t>
      </w:r>
      <w:r w:rsidR="00683AEC" w:rsidRPr="003867B1">
        <w:rPr>
          <w:rFonts w:cstheme="minorHAnsi"/>
          <w:sz w:val="20"/>
        </w:rPr>
        <w:t>et des microorganismes</w:t>
      </w:r>
      <w:r w:rsidR="00BF72CE" w:rsidRPr="003867B1">
        <w:rPr>
          <w:rFonts w:cstheme="minorHAnsi"/>
          <w:sz w:val="20"/>
        </w:rPr>
        <w:t xml:space="preserve"> (Huang et al., 2019; Sun et al., 2022)</w:t>
      </w:r>
      <w:r w:rsidR="00683AEC" w:rsidRPr="003867B1">
        <w:rPr>
          <w:rFonts w:cstheme="minorHAnsi"/>
          <w:sz w:val="20"/>
        </w:rPr>
        <w:t xml:space="preserve">. Les effets toxiques des MPs sur les organismes du sol peuvent être liés aux caractéristiques </w:t>
      </w:r>
      <w:r w:rsidR="00BF72CE" w:rsidRPr="003867B1">
        <w:rPr>
          <w:rFonts w:cstheme="minorHAnsi"/>
          <w:sz w:val="20"/>
        </w:rPr>
        <w:t>physiques</w:t>
      </w:r>
      <w:r w:rsidR="008B53FA" w:rsidRPr="003867B1">
        <w:rPr>
          <w:rFonts w:cstheme="minorHAnsi"/>
          <w:sz w:val="20"/>
        </w:rPr>
        <w:t xml:space="preserve"> des MPs</w:t>
      </w:r>
      <w:r w:rsidR="00BF72CE" w:rsidRPr="003867B1">
        <w:rPr>
          <w:rFonts w:cstheme="minorHAnsi"/>
          <w:sz w:val="20"/>
        </w:rPr>
        <w:t xml:space="preserve">, à savoir la </w:t>
      </w:r>
      <w:r w:rsidR="00683AEC" w:rsidRPr="003867B1">
        <w:rPr>
          <w:rFonts w:cstheme="minorHAnsi"/>
          <w:sz w:val="20"/>
        </w:rPr>
        <w:t xml:space="preserve">forme et </w:t>
      </w:r>
      <w:r w:rsidR="00BF72CE" w:rsidRPr="003867B1">
        <w:rPr>
          <w:rFonts w:cstheme="minorHAnsi"/>
          <w:sz w:val="20"/>
        </w:rPr>
        <w:t xml:space="preserve">la </w:t>
      </w:r>
      <w:r w:rsidR="00683AEC" w:rsidRPr="003867B1">
        <w:rPr>
          <w:rFonts w:cstheme="minorHAnsi"/>
          <w:sz w:val="20"/>
        </w:rPr>
        <w:t xml:space="preserve">taille des particules </w:t>
      </w:r>
      <w:r w:rsidR="00BF72CE" w:rsidRPr="003867B1">
        <w:rPr>
          <w:rFonts w:cstheme="minorHAnsi"/>
          <w:sz w:val="20"/>
        </w:rPr>
        <w:t xml:space="preserve">(Sun et al., 2022) </w:t>
      </w:r>
      <w:r w:rsidR="008B53FA" w:rsidRPr="003867B1">
        <w:rPr>
          <w:rFonts w:cstheme="minorHAnsi"/>
          <w:sz w:val="20"/>
        </w:rPr>
        <w:t xml:space="preserve">ou chimiques de par la </w:t>
      </w:r>
      <w:r w:rsidR="00683AEC" w:rsidRPr="003867B1">
        <w:rPr>
          <w:rFonts w:cstheme="minorHAnsi"/>
          <w:sz w:val="20"/>
        </w:rPr>
        <w:t>composition</w:t>
      </w:r>
      <w:r w:rsidR="008B53FA" w:rsidRPr="003867B1">
        <w:rPr>
          <w:rFonts w:cstheme="minorHAnsi"/>
          <w:sz w:val="20"/>
        </w:rPr>
        <w:t xml:space="preserve"> du polymère (Sun et al., 2022)</w:t>
      </w:r>
      <w:r w:rsidR="00683AEC" w:rsidRPr="003867B1">
        <w:rPr>
          <w:rFonts w:cstheme="minorHAnsi"/>
          <w:sz w:val="20"/>
        </w:rPr>
        <w:t xml:space="preserve">, </w:t>
      </w:r>
      <w:r w:rsidR="008B53FA" w:rsidRPr="003867B1">
        <w:rPr>
          <w:rFonts w:cstheme="minorHAnsi"/>
          <w:sz w:val="20"/>
        </w:rPr>
        <w:t>la présence d'</w:t>
      </w:r>
      <w:r w:rsidR="00683AEC" w:rsidRPr="003867B1">
        <w:rPr>
          <w:rFonts w:cstheme="minorHAnsi"/>
          <w:sz w:val="20"/>
        </w:rPr>
        <w:t>additifs</w:t>
      </w:r>
      <w:r w:rsidR="008B53FA" w:rsidRPr="003867B1">
        <w:rPr>
          <w:rFonts w:cstheme="minorHAnsi"/>
          <w:sz w:val="20"/>
        </w:rPr>
        <w:t xml:space="preserve"> (Kim et al., 2020) ou la présence de </w:t>
      </w:r>
      <w:r w:rsidR="00683AEC" w:rsidRPr="003867B1">
        <w:rPr>
          <w:rFonts w:cstheme="minorHAnsi"/>
          <w:sz w:val="20"/>
        </w:rPr>
        <w:t xml:space="preserve">contaminants </w:t>
      </w:r>
      <w:r w:rsidR="00BF72CE" w:rsidRPr="003867B1">
        <w:rPr>
          <w:rFonts w:cstheme="minorHAnsi"/>
          <w:sz w:val="20"/>
        </w:rPr>
        <w:t>(</w:t>
      </w:r>
      <w:r w:rsidR="008B53FA" w:rsidRPr="003867B1">
        <w:rPr>
          <w:rFonts w:cstheme="minorHAnsi"/>
          <w:sz w:val="20"/>
        </w:rPr>
        <w:t>Rodríguez-Seijo, 2018)</w:t>
      </w:r>
      <w:r w:rsidR="00683AEC" w:rsidRPr="003867B1">
        <w:rPr>
          <w:rFonts w:cstheme="minorHAnsi"/>
          <w:sz w:val="20"/>
        </w:rPr>
        <w:t>. Ces effets écotoxiques peuvent être direc</w:t>
      </w:r>
      <w:r w:rsidR="008B53FA" w:rsidRPr="003867B1">
        <w:rPr>
          <w:rFonts w:cstheme="minorHAnsi"/>
          <w:sz w:val="20"/>
        </w:rPr>
        <w:t xml:space="preserve">ts ou indirects </w:t>
      </w:r>
      <w:r w:rsidR="00683AEC" w:rsidRPr="003867B1">
        <w:rPr>
          <w:rFonts w:cstheme="minorHAnsi"/>
          <w:i/>
          <w:sz w:val="20"/>
        </w:rPr>
        <w:t>via</w:t>
      </w:r>
      <w:r w:rsidR="00683AEC" w:rsidRPr="003867B1">
        <w:rPr>
          <w:rFonts w:cstheme="minorHAnsi"/>
          <w:sz w:val="20"/>
        </w:rPr>
        <w:t xml:space="preserve"> par exemple </w:t>
      </w:r>
      <w:r w:rsidR="008B53FA" w:rsidRPr="003867B1">
        <w:rPr>
          <w:rFonts w:cstheme="minorHAnsi"/>
          <w:sz w:val="20"/>
        </w:rPr>
        <w:t>des effets sur les propriétés du sol</w:t>
      </w:r>
      <w:r w:rsidR="00683AEC" w:rsidRPr="003867B1">
        <w:rPr>
          <w:rFonts w:cstheme="minorHAnsi"/>
          <w:sz w:val="20"/>
        </w:rPr>
        <w:t xml:space="preserve"> </w:t>
      </w:r>
      <w:r w:rsidR="008B53FA" w:rsidRPr="003867B1">
        <w:rPr>
          <w:rFonts w:cstheme="minorHAnsi"/>
          <w:sz w:val="20"/>
        </w:rPr>
        <w:t xml:space="preserve">(de Souza Machado et al., 2019; </w:t>
      </w:r>
      <w:r w:rsidR="008B53FA" w:rsidRPr="003867B1">
        <w:rPr>
          <w:rFonts w:eastAsia="Times New Roman" w:cstheme="minorHAnsi"/>
          <w:sz w:val="20"/>
          <w:lang w:eastAsia="fr-FR"/>
        </w:rPr>
        <w:t>Ingraffia et al., 2022</w:t>
      </w:r>
      <w:r w:rsidR="008B53FA" w:rsidRPr="003867B1">
        <w:rPr>
          <w:rFonts w:cstheme="minorHAnsi"/>
          <w:sz w:val="20"/>
        </w:rPr>
        <w:t xml:space="preserve">) </w:t>
      </w:r>
      <w:r w:rsidR="00683AEC" w:rsidRPr="003867B1">
        <w:rPr>
          <w:rFonts w:cstheme="minorHAnsi"/>
          <w:sz w:val="20"/>
        </w:rPr>
        <w:t>et varient suivant les espèces exposées et la nature de la contamination en MPs (concentration, forme, taille des MPs)</w:t>
      </w:r>
      <w:r w:rsidR="008B53FA" w:rsidRPr="003867B1">
        <w:rPr>
          <w:rFonts w:cstheme="minorHAnsi"/>
          <w:sz w:val="20"/>
        </w:rPr>
        <w:t xml:space="preserve"> (de Souza Machado et al., 2019; Li et al., 2020).</w:t>
      </w:r>
    </w:p>
    <w:p w14:paraId="29A24404" w14:textId="77777777" w:rsidR="00213905" w:rsidRPr="003867B1" w:rsidRDefault="00683AEC" w:rsidP="003867B1">
      <w:pPr>
        <w:autoSpaceDE w:val="0"/>
        <w:autoSpaceDN w:val="0"/>
        <w:adjustRightInd w:val="0"/>
        <w:spacing w:before="120" w:after="0" w:line="240" w:lineRule="auto"/>
        <w:jc w:val="both"/>
        <w:rPr>
          <w:rFonts w:cstheme="minorHAnsi"/>
          <w:sz w:val="20"/>
        </w:rPr>
      </w:pPr>
      <w:r w:rsidRPr="003867B1">
        <w:rPr>
          <w:rFonts w:cstheme="minorHAnsi"/>
          <w:sz w:val="20"/>
        </w:rPr>
        <w:t xml:space="preserve">Bien que la littérature sur cette thématique se développe depuis les années 2010, </w:t>
      </w:r>
      <w:r w:rsidR="002B1619" w:rsidRPr="003867B1">
        <w:rPr>
          <w:rFonts w:cstheme="minorHAnsi"/>
          <w:sz w:val="20"/>
        </w:rPr>
        <w:t>les impacts des</w:t>
      </w:r>
      <w:r w:rsidRPr="003867B1">
        <w:rPr>
          <w:rFonts w:cstheme="minorHAnsi"/>
          <w:sz w:val="20"/>
        </w:rPr>
        <w:t xml:space="preserve"> MPs sur les organismes du sol</w:t>
      </w:r>
      <w:r w:rsidR="00050597" w:rsidRPr="003867B1">
        <w:rPr>
          <w:rFonts w:cstheme="minorHAnsi"/>
          <w:sz w:val="20"/>
        </w:rPr>
        <w:t xml:space="preserve"> et en particulier sur les enchytréides</w:t>
      </w:r>
      <w:r w:rsidR="00D37959" w:rsidRPr="003867B1">
        <w:rPr>
          <w:rFonts w:cstheme="minorHAnsi"/>
          <w:sz w:val="20"/>
        </w:rPr>
        <w:t xml:space="preserve"> restent mal connus</w:t>
      </w:r>
      <w:r w:rsidRPr="003867B1">
        <w:rPr>
          <w:rFonts w:cstheme="minorHAnsi"/>
          <w:sz w:val="20"/>
        </w:rPr>
        <w:t>.</w:t>
      </w:r>
      <w:r w:rsidR="00B915BF" w:rsidRPr="003867B1">
        <w:rPr>
          <w:rFonts w:cstheme="minorHAnsi"/>
          <w:sz w:val="20"/>
        </w:rPr>
        <w:t xml:space="preserve"> Or les enchytréides </w:t>
      </w:r>
      <w:r w:rsidR="00D37959" w:rsidRPr="003867B1">
        <w:rPr>
          <w:rFonts w:cstheme="minorHAnsi"/>
          <w:sz w:val="20"/>
        </w:rPr>
        <w:t>sont très présents dans les sols, avec un</w:t>
      </w:r>
      <w:r w:rsidR="008B53FA" w:rsidRPr="003867B1">
        <w:rPr>
          <w:rFonts w:cstheme="minorHAnsi"/>
          <w:sz w:val="20"/>
        </w:rPr>
        <w:t>e</w:t>
      </w:r>
      <w:r w:rsidR="00D37959" w:rsidRPr="003867B1">
        <w:rPr>
          <w:rFonts w:cstheme="minorHAnsi"/>
          <w:sz w:val="20"/>
        </w:rPr>
        <w:t xml:space="preserve"> abondance variant entre 5000 et 300 000 individus par m</w:t>
      </w:r>
      <w:r w:rsidR="00D37959" w:rsidRPr="003867B1">
        <w:rPr>
          <w:rFonts w:cstheme="minorHAnsi"/>
          <w:sz w:val="20"/>
          <w:vertAlign w:val="superscript"/>
        </w:rPr>
        <w:t>2</w:t>
      </w:r>
      <w:r w:rsidR="00D37959" w:rsidRPr="003867B1">
        <w:rPr>
          <w:rFonts w:cstheme="minorHAnsi"/>
          <w:sz w:val="20"/>
        </w:rPr>
        <w:t xml:space="preserve"> et une richesse spécifique variant de 1 à une vingtaine d'espèces (Pélosi et Capowiez, 2022).</w:t>
      </w:r>
      <w:r w:rsidR="008B53FA" w:rsidRPr="003867B1">
        <w:rPr>
          <w:rFonts w:cstheme="minorHAnsi"/>
          <w:sz w:val="20"/>
        </w:rPr>
        <w:t xml:space="preserve"> De plus, les enchytréides </w:t>
      </w:r>
      <w:r w:rsidR="00B915BF" w:rsidRPr="003867B1">
        <w:rPr>
          <w:rFonts w:cstheme="minorHAnsi"/>
          <w:sz w:val="20"/>
        </w:rPr>
        <w:t>sont des acteurs cle</w:t>
      </w:r>
      <w:r w:rsidR="00213905" w:rsidRPr="003867B1">
        <w:rPr>
          <w:rFonts w:cstheme="minorHAnsi"/>
          <w:sz w:val="20"/>
        </w:rPr>
        <w:t>fs du fonctionnement des sols. En effet, i</w:t>
      </w:r>
      <w:r w:rsidR="00B915BF" w:rsidRPr="003867B1">
        <w:rPr>
          <w:rFonts w:cstheme="minorHAnsi"/>
          <w:sz w:val="20"/>
        </w:rPr>
        <w:t>ls sont impliqués dans la dégradation de la matière organique (Van Vliet et al., 1995)</w:t>
      </w:r>
      <w:r w:rsidR="00C9437F" w:rsidRPr="003867B1">
        <w:rPr>
          <w:rFonts w:cstheme="minorHAnsi"/>
          <w:sz w:val="20"/>
        </w:rPr>
        <w:t>. Ils impactent également</w:t>
      </w:r>
      <w:r w:rsidR="00B915BF" w:rsidRPr="003867B1">
        <w:rPr>
          <w:rFonts w:cstheme="minorHAnsi"/>
          <w:sz w:val="20"/>
        </w:rPr>
        <w:t xml:space="preserve"> la structure des sols du fait de leur comportemen</w:t>
      </w:r>
      <w:r w:rsidR="00C9437F" w:rsidRPr="003867B1">
        <w:rPr>
          <w:rFonts w:cstheme="minorHAnsi"/>
          <w:sz w:val="20"/>
        </w:rPr>
        <w:t>t fouisseur et</w:t>
      </w:r>
      <w:r w:rsidR="00B915BF" w:rsidRPr="003867B1">
        <w:rPr>
          <w:rFonts w:cstheme="minorHAnsi"/>
          <w:sz w:val="20"/>
        </w:rPr>
        <w:t xml:space="preserve"> des boulettes fécales qu’</w:t>
      </w:r>
      <w:r w:rsidR="00C9437F" w:rsidRPr="003867B1">
        <w:rPr>
          <w:rFonts w:cstheme="minorHAnsi"/>
          <w:sz w:val="20"/>
        </w:rPr>
        <w:t>ils produisent</w:t>
      </w:r>
      <w:r w:rsidR="00213905" w:rsidRPr="003867B1">
        <w:rPr>
          <w:rFonts w:cstheme="minorHAnsi"/>
          <w:sz w:val="20"/>
        </w:rPr>
        <w:t xml:space="preserve"> (Topoliantz et al., 2000)</w:t>
      </w:r>
      <w:r w:rsidR="00C9437F" w:rsidRPr="003867B1">
        <w:rPr>
          <w:rFonts w:cstheme="minorHAnsi"/>
          <w:sz w:val="20"/>
        </w:rPr>
        <w:t>. De ce fait, ils modifient la porosité du sol en réduisant la compaction</w:t>
      </w:r>
      <w:r w:rsidR="00213905" w:rsidRPr="003867B1">
        <w:rPr>
          <w:rFonts w:cstheme="minorHAnsi"/>
          <w:sz w:val="20"/>
        </w:rPr>
        <w:t xml:space="preserve"> et</w:t>
      </w:r>
      <w:r w:rsidR="00C9437F" w:rsidRPr="003867B1">
        <w:rPr>
          <w:rFonts w:cstheme="minorHAnsi"/>
          <w:sz w:val="20"/>
        </w:rPr>
        <w:t xml:space="preserve"> en favorisant les transferts d'eau et d'oxygène </w:t>
      </w:r>
      <w:r w:rsidR="00213905" w:rsidRPr="003867B1">
        <w:rPr>
          <w:rFonts w:cstheme="minorHAnsi"/>
          <w:sz w:val="20"/>
        </w:rPr>
        <w:t xml:space="preserve">dans les sols </w:t>
      </w:r>
      <w:r w:rsidR="00C9437F" w:rsidRPr="003867B1">
        <w:rPr>
          <w:rFonts w:cstheme="minorHAnsi"/>
          <w:sz w:val="20"/>
        </w:rPr>
        <w:t>(</w:t>
      </w:r>
      <w:r w:rsidR="00213905" w:rsidRPr="003867B1">
        <w:rPr>
          <w:rFonts w:cstheme="minorHAnsi"/>
          <w:sz w:val="20"/>
        </w:rPr>
        <w:t xml:space="preserve">Roithmeier et Pieper, 2009; </w:t>
      </w:r>
      <w:r w:rsidR="00C9437F" w:rsidRPr="003867B1">
        <w:rPr>
          <w:rFonts w:cstheme="minorHAnsi"/>
          <w:sz w:val="20"/>
        </w:rPr>
        <w:t>Linden et al., 1994).</w:t>
      </w:r>
      <w:r w:rsidR="00D37959" w:rsidRPr="003867B1">
        <w:rPr>
          <w:rFonts w:cstheme="minorHAnsi"/>
          <w:sz w:val="20"/>
        </w:rPr>
        <w:t xml:space="preserve"> </w:t>
      </w:r>
      <w:r w:rsidR="00B915BF" w:rsidRPr="003867B1">
        <w:rPr>
          <w:rFonts w:cstheme="minorHAnsi"/>
          <w:sz w:val="20"/>
        </w:rPr>
        <w:t>De plus, les enchytréides microbivores</w:t>
      </w:r>
      <w:r w:rsidR="00213905" w:rsidRPr="003867B1">
        <w:rPr>
          <w:rFonts w:cstheme="minorHAnsi"/>
          <w:sz w:val="20"/>
        </w:rPr>
        <w:t>,</w:t>
      </w:r>
      <w:r w:rsidR="00B915BF" w:rsidRPr="003867B1">
        <w:rPr>
          <w:rFonts w:cstheme="minorHAnsi"/>
          <w:sz w:val="20"/>
        </w:rPr>
        <w:t xml:space="preserve"> </w:t>
      </w:r>
      <w:r w:rsidR="00213905" w:rsidRPr="003867B1">
        <w:rPr>
          <w:rFonts w:cstheme="minorHAnsi"/>
          <w:sz w:val="20"/>
        </w:rPr>
        <w:t xml:space="preserve">qui représentent </w:t>
      </w:r>
      <w:r w:rsidR="00B915BF" w:rsidRPr="003867B1">
        <w:rPr>
          <w:rFonts w:cstheme="minorHAnsi"/>
          <w:sz w:val="20"/>
        </w:rPr>
        <w:t>entre 50% selon Lagerlöf et al.</w:t>
      </w:r>
      <w:r w:rsidR="00213905" w:rsidRPr="003867B1">
        <w:rPr>
          <w:rFonts w:cstheme="minorHAnsi"/>
          <w:sz w:val="20"/>
        </w:rPr>
        <w:t xml:space="preserve"> (</w:t>
      </w:r>
      <w:r w:rsidR="00B915BF" w:rsidRPr="003867B1">
        <w:rPr>
          <w:rFonts w:cstheme="minorHAnsi"/>
          <w:sz w:val="20"/>
        </w:rPr>
        <w:t>1989</w:t>
      </w:r>
      <w:r w:rsidR="00213905" w:rsidRPr="003867B1">
        <w:rPr>
          <w:rFonts w:cstheme="minorHAnsi"/>
          <w:sz w:val="20"/>
        </w:rPr>
        <w:t>)</w:t>
      </w:r>
      <w:r w:rsidR="00B915BF" w:rsidRPr="003867B1">
        <w:rPr>
          <w:rFonts w:cstheme="minorHAnsi"/>
          <w:sz w:val="20"/>
        </w:rPr>
        <w:t xml:space="preserve"> et 80% </w:t>
      </w:r>
      <w:r w:rsidR="00213905" w:rsidRPr="003867B1">
        <w:rPr>
          <w:rFonts w:cstheme="minorHAnsi"/>
          <w:sz w:val="20"/>
        </w:rPr>
        <w:t xml:space="preserve">des enchytréides </w:t>
      </w:r>
      <w:r w:rsidR="00B915BF" w:rsidRPr="003867B1">
        <w:rPr>
          <w:rFonts w:cstheme="minorHAnsi"/>
          <w:sz w:val="20"/>
        </w:rPr>
        <w:t>selon Didden</w:t>
      </w:r>
      <w:r w:rsidR="00213905" w:rsidRPr="003867B1">
        <w:rPr>
          <w:rFonts w:cstheme="minorHAnsi"/>
          <w:sz w:val="20"/>
        </w:rPr>
        <w:t xml:space="preserve"> (</w:t>
      </w:r>
      <w:r w:rsidR="00B915BF" w:rsidRPr="003867B1">
        <w:rPr>
          <w:rFonts w:cstheme="minorHAnsi"/>
          <w:sz w:val="20"/>
        </w:rPr>
        <w:t>199</w:t>
      </w:r>
      <w:r w:rsidR="00C9437F" w:rsidRPr="003867B1">
        <w:rPr>
          <w:rFonts w:cstheme="minorHAnsi"/>
          <w:sz w:val="20"/>
        </w:rPr>
        <w:t>1</w:t>
      </w:r>
      <w:r w:rsidR="00B915BF" w:rsidRPr="003867B1">
        <w:rPr>
          <w:rFonts w:cstheme="minorHAnsi"/>
          <w:sz w:val="20"/>
        </w:rPr>
        <w:t>)</w:t>
      </w:r>
      <w:r w:rsidR="00213905" w:rsidRPr="003867B1">
        <w:rPr>
          <w:rFonts w:cstheme="minorHAnsi"/>
          <w:sz w:val="20"/>
        </w:rPr>
        <w:t>,</w:t>
      </w:r>
      <w:r w:rsidR="00D37959" w:rsidRPr="003867B1">
        <w:rPr>
          <w:rFonts w:cstheme="minorHAnsi"/>
          <w:sz w:val="20"/>
        </w:rPr>
        <w:t xml:space="preserve"> </w:t>
      </w:r>
      <w:r w:rsidR="00B915BF" w:rsidRPr="003867B1">
        <w:rPr>
          <w:rFonts w:cstheme="minorHAnsi"/>
          <w:sz w:val="20"/>
        </w:rPr>
        <w:t xml:space="preserve">pourraient également jouer un rôle important dans </w:t>
      </w:r>
      <w:r w:rsidR="00D37959" w:rsidRPr="003867B1">
        <w:rPr>
          <w:rFonts w:cstheme="minorHAnsi"/>
          <w:sz w:val="20"/>
        </w:rPr>
        <w:t>la</w:t>
      </w:r>
      <w:r w:rsidR="00B915BF" w:rsidRPr="003867B1">
        <w:rPr>
          <w:rFonts w:cstheme="minorHAnsi"/>
          <w:sz w:val="20"/>
        </w:rPr>
        <w:t xml:space="preserve"> régulation de</w:t>
      </w:r>
      <w:r w:rsidR="00D37959" w:rsidRPr="003867B1">
        <w:rPr>
          <w:rFonts w:cstheme="minorHAnsi"/>
          <w:sz w:val="20"/>
        </w:rPr>
        <w:t>s</w:t>
      </w:r>
      <w:r w:rsidR="00B915BF" w:rsidRPr="003867B1">
        <w:rPr>
          <w:rFonts w:cstheme="minorHAnsi"/>
          <w:sz w:val="20"/>
        </w:rPr>
        <w:t xml:space="preserve"> populations microbiennes et </w:t>
      </w:r>
      <w:r w:rsidR="00C9437F" w:rsidRPr="003867B1">
        <w:rPr>
          <w:rFonts w:cstheme="minorHAnsi"/>
          <w:sz w:val="20"/>
        </w:rPr>
        <w:t>en particulier de</w:t>
      </w:r>
      <w:r w:rsidR="00D37959" w:rsidRPr="003867B1">
        <w:rPr>
          <w:rFonts w:cstheme="minorHAnsi"/>
          <w:sz w:val="20"/>
        </w:rPr>
        <w:t>s</w:t>
      </w:r>
      <w:r w:rsidR="00C9437F" w:rsidRPr="003867B1">
        <w:rPr>
          <w:rFonts w:cstheme="minorHAnsi"/>
          <w:sz w:val="20"/>
        </w:rPr>
        <w:t xml:space="preserve"> pathogènes </w:t>
      </w:r>
      <w:r w:rsidR="00D37959" w:rsidRPr="003867B1">
        <w:rPr>
          <w:rFonts w:cstheme="minorHAnsi"/>
          <w:sz w:val="20"/>
        </w:rPr>
        <w:t>(</w:t>
      </w:r>
      <w:r w:rsidR="00C9437F" w:rsidRPr="003867B1">
        <w:rPr>
          <w:rFonts w:cstheme="minorHAnsi"/>
          <w:sz w:val="20"/>
        </w:rPr>
        <w:t>Friberg et al</w:t>
      </w:r>
      <w:r w:rsidR="00D37959" w:rsidRPr="003867B1">
        <w:rPr>
          <w:rFonts w:cstheme="minorHAnsi"/>
          <w:sz w:val="20"/>
        </w:rPr>
        <w:t xml:space="preserve">., </w:t>
      </w:r>
      <w:r w:rsidR="00C9437F" w:rsidRPr="003867B1">
        <w:rPr>
          <w:rFonts w:cstheme="minorHAnsi"/>
          <w:sz w:val="20"/>
        </w:rPr>
        <w:t>2009).</w:t>
      </w:r>
      <w:r w:rsidR="00213905" w:rsidRPr="003867B1">
        <w:rPr>
          <w:rFonts w:cstheme="minorHAnsi"/>
          <w:sz w:val="20"/>
        </w:rPr>
        <w:t xml:space="preserve"> R</w:t>
      </w:r>
      <w:r w:rsidR="00307DDD" w:rsidRPr="003867B1">
        <w:rPr>
          <w:rFonts w:cstheme="minorHAnsi"/>
          <w:sz w:val="20"/>
        </w:rPr>
        <w:t xml:space="preserve">épondant à de nombreux stress (Beylich et Graefe, 2009) et </w:t>
      </w:r>
      <w:r w:rsidR="00D37959" w:rsidRPr="003867B1">
        <w:rPr>
          <w:rFonts w:cstheme="minorHAnsi"/>
          <w:sz w:val="20"/>
        </w:rPr>
        <w:t>pratiques agricoles</w:t>
      </w:r>
      <w:r w:rsidR="00307DDD" w:rsidRPr="003867B1">
        <w:rPr>
          <w:rFonts w:cstheme="minorHAnsi"/>
          <w:sz w:val="20"/>
        </w:rPr>
        <w:t xml:space="preserve"> (Didden et Römbke, 2001 ; Pelosi et Römbke, 2016), ils peuvent </w:t>
      </w:r>
      <w:r w:rsidR="00213905" w:rsidRPr="003867B1">
        <w:rPr>
          <w:rFonts w:cstheme="minorHAnsi"/>
          <w:sz w:val="20"/>
        </w:rPr>
        <w:t xml:space="preserve">aussi </w:t>
      </w:r>
      <w:r w:rsidR="00307DDD" w:rsidRPr="003867B1">
        <w:rPr>
          <w:rFonts w:cstheme="minorHAnsi"/>
          <w:sz w:val="20"/>
        </w:rPr>
        <w:t>être utilisés comme bioindicateurs.</w:t>
      </w:r>
      <w:r w:rsidR="003867B1" w:rsidRPr="003867B1">
        <w:rPr>
          <w:rFonts w:cstheme="minorHAnsi"/>
          <w:sz w:val="20"/>
        </w:rPr>
        <w:t xml:space="preserve"> </w:t>
      </w:r>
      <w:r w:rsidR="00D37959" w:rsidRPr="003867B1">
        <w:rPr>
          <w:rFonts w:cstheme="minorHAnsi"/>
          <w:sz w:val="20"/>
        </w:rPr>
        <w:t>En outre</w:t>
      </w:r>
      <w:r w:rsidRPr="003867B1">
        <w:rPr>
          <w:rFonts w:cstheme="minorHAnsi"/>
          <w:sz w:val="20"/>
        </w:rPr>
        <w:t xml:space="preserve">, du fait de leur grande diversité, de nombreux MPs restent peu étudiés. </w:t>
      </w:r>
      <w:r w:rsidR="00213905" w:rsidRPr="003867B1">
        <w:rPr>
          <w:rFonts w:cstheme="minorHAnsi"/>
          <w:sz w:val="20"/>
        </w:rPr>
        <w:t>Ainsi, des connaissances sur les impacts de différents MPs sur les enchytréides apparaissent nécessaires.</w:t>
      </w:r>
    </w:p>
    <w:p w14:paraId="511807F9" w14:textId="77777777" w:rsidR="00213905" w:rsidRPr="003867B1" w:rsidRDefault="00213905" w:rsidP="00336A82">
      <w:pPr>
        <w:spacing w:before="120" w:after="0" w:line="240" w:lineRule="auto"/>
        <w:jc w:val="both"/>
        <w:rPr>
          <w:rFonts w:cstheme="minorHAnsi"/>
          <w:sz w:val="20"/>
        </w:rPr>
      </w:pPr>
    </w:p>
    <w:p w14:paraId="21F6AFFA" w14:textId="77777777" w:rsidR="00213905" w:rsidRPr="003867B1" w:rsidRDefault="00683AEC" w:rsidP="00336A82">
      <w:pPr>
        <w:spacing w:before="120" w:after="0" w:line="240" w:lineRule="auto"/>
        <w:jc w:val="both"/>
        <w:rPr>
          <w:rFonts w:cstheme="minorHAnsi"/>
          <w:b/>
          <w:color w:val="008080"/>
          <w:sz w:val="20"/>
        </w:rPr>
      </w:pPr>
      <w:r w:rsidRPr="003867B1">
        <w:rPr>
          <w:rFonts w:cstheme="minorHAnsi"/>
          <w:b/>
          <w:color w:val="008080"/>
          <w:sz w:val="20"/>
        </w:rPr>
        <w:t>Objectifs</w:t>
      </w:r>
    </w:p>
    <w:p w14:paraId="0FC9DF77" w14:textId="632948F5" w:rsidR="00683AEC" w:rsidRPr="003867B1" w:rsidRDefault="00683AEC" w:rsidP="00336A82">
      <w:pPr>
        <w:spacing w:before="120" w:after="0" w:line="240" w:lineRule="auto"/>
        <w:jc w:val="both"/>
        <w:rPr>
          <w:rFonts w:cstheme="minorHAnsi"/>
          <w:sz w:val="20"/>
        </w:rPr>
      </w:pPr>
      <w:r w:rsidRPr="003867B1">
        <w:rPr>
          <w:rFonts w:cstheme="minorHAnsi"/>
          <w:sz w:val="20"/>
        </w:rPr>
        <w:t xml:space="preserve">Les objectifs de ce </w:t>
      </w:r>
      <w:r w:rsidR="002B1619" w:rsidRPr="003867B1">
        <w:rPr>
          <w:rFonts w:cstheme="minorHAnsi"/>
          <w:sz w:val="20"/>
        </w:rPr>
        <w:t>stage</w:t>
      </w:r>
      <w:r w:rsidRPr="003867B1">
        <w:rPr>
          <w:rFonts w:cstheme="minorHAnsi"/>
          <w:sz w:val="20"/>
        </w:rPr>
        <w:t xml:space="preserve"> sont de mieux comprendre les effets des MPs sur les </w:t>
      </w:r>
      <w:r w:rsidR="00050597" w:rsidRPr="003867B1">
        <w:rPr>
          <w:rFonts w:cstheme="minorHAnsi"/>
          <w:sz w:val="20"/>
        </w:rPr>
        <w:t>enchytréides</w:t>
      </w:r>
      <w:r w:rsidRPr="003867B1">
        <w:rPr>
          <w:rFonts w:cstheme="minorHAnsi"/>
          <w:sz w:val="20"/>
        </w:rPr>
        <w:t xml:space="preserve"> du sol en faisant varier la nature</w:t>
      </w:r>
      <w:r w:rsidR="003875BA">
        <w:rPr>
          <w:rFonts w:cstheme="minorHAnsi"/>
          <w:sz w:val="20"/>
        </w:rPr>
        <w:t>, la taille et la teneur</w:t>
      </w:r>
      <w:r w:rsidRPr="003867B1">
        <w:rPr>
          <w:rFonts w:cstheme="minorHAnsi"/>
          <w:sz w:val="20"/>
        </w:rPr>
        <w:t xml:space="preserve"> des MPs </w:t>
      </w:r>
      <w:r w:rsidR="002B1619" w:rsidRPr="003867B1">
        <w:rPr>
          <w:rFonts w:cstheme="minorHAnsi"/>
          <w:sz w:val="20"/>
        </w:rPr>
        <w:t xml:space="preserve">Pour ce faire, </w:t>
      </w:r>
      <w:r w:rsidRPr="003867B1">
        <w:rPr>
          <w:rFonts w:cstheme="minorHAnsi"/>
          <w:sz w:val="20"/>
        </w:rPr>
        <w:t>4 types de MPs représentatifs des grandes classes de polymères</w:t>
      </w:r>
      <w:r w:rsidR="00BF72CE" w:rsidRPr="003867B1">
        <w:rPr>
          <w:rFonts w:cstheme="minorHAnsi"/>
          <w:sz w:val="20"/>
        </w:rPr>
        <w:t xml:space="preserve"> ont été sélectionnés </w:t>
      </w:r>
      <w:r w:rsidRPr="003867B1">
        <w:rPr>
          <w:rFonts w:cstheme="minorHAnsi"/>
          <w:sz w:val="20"/>
        </w:rPr>
        <w:t>: PEHD, PS, PBAT et PLA</w:t>
      </w:r>
      <w:r w:rsidR="00BF72CE" w:rsidRPr="003867B1">
        <w:rPr>
          <w:rFonts w:cstheme="minorHAnsi"/>
          <w:sz w:val="20"/>
        </w:rPr>
        <w:t xml:space="preserve">. Ces MPs </w:t>
      </w:r>
      <w:r w:rsidR="002B1619" w:rsidRPr="003867B1">
        <w:rPr>
          <w:rFonts w:cstheme="minorHAnsi"/>
          <w:sz w:val="20"/>
        </w:rPr>
        <w:t xml:space="preserve">se différencient </w:t>
      </w:r>
      <w:r w:rsidR="00BF72CE" w:rsidRPr="003867B1">
        <w:rPr>
          <w:rFonts w:cstheme="minorHAnsi"/>
          <w:sz w:val="20"/>
        </w:rPr>
        <w:t xml:space="preserve">notamment </w:t>
      </w:r>
      <w:r w:rsidR="002B1619" w:rsidRPr="003867B1">
        <w:rPr>
          <w:rFonts w:cstheme="minorHAnsi"/>
          <w:sz w:val="20"/>
        </w:rPr>
        <w:t xml:space="preserve">par leurs propriétés </w:t>
      </w:r>
      <w:r w:rsidR="00BF72CE" w:rsidRPr="003867B1">
        <w:rPr>
          <w:rFonts w:cstheme="minorHAnsi"/>
          <w:sz w:val="20"/>
        </w:rPr>
        <w:t>physiques</w:t>
      </w:r>
      <w:r w:rsidR="002B1619" w:rsidRPr="003867B1">
        <w:rPr>
          <w:rFonts w:cstheme="minorHAnsi"/>
          <w:sz w:val="20"/>
        </w:rPr>
        <w:t xml:space="preserve"> (souples ou rigides) et leur degré de biodégradabilité</w:t>
      </w:r>
      <w:r w:rsidRPr="003867B1">
        <w:rPr>
          <w:rFonts w:cstheme="minorHAnsi"/>
          <w:sz w:val="20"/>
        </w:rPr>
        <w:t>.</w:t>
      </w:r>
      <w:r w:rsidR="003875BA">
        <w:rPr>
          <w:rFonts w:cstheme="minorHAnsi"/>
          <w:sz w:val="20"/>
        </w:rPr>
        <w:t xml:space="preserve"> </w:t>
      </w:r>
      <w:r w:rsidRPr="003867B1">
        <w:rPr>
          <w:rFonts w:cstheme="minorHAnsi"/>
          <w:sz w:val="20"/>
        </w:rPr>
        <w:t>Nous travaillerons à 2 teneurs en MPs, une teneur environnementale et une teneur 5 fois plus élevée. Le sol choisi pour les expér</w:t>
      </w:r>
      <w:r w:rsidR="00BF72CE" w:rsidRPr="003867B1">
        <w:rPr>
          <w:rFonts w:cstheme="minorHAnsi"/>
          <w:sz w:val="20"/>
        </w:rPr>
        <w:t>imentations est un sol agricole</w:t>
      </w:r>
      <w:r w:rsidRPr="003867B1">
        <w:rPr>
          <w:rFonts w:cstheme="minorHAnsi"/>
          <w:sz w:val="20"/>
        </w:rPr>
        <w:t xml:space="preserve"> déjà </w:t>
      </w:r>
      <w:r w:rsidR="00BF72CE" w:rsidRPr="003867B1">
        <w:rPr>
          <w:rFonts w:cstheme="minorHAnsi"/>
          <w:sz w:val="20"/>
        </w:rPr>
        <w:t xml:space="preserve">caractérisé </w:t>
      </w:r>
      <w:r w:rsidRPr="003867B1">
        <w:rPr>
          <w:rFonts w:cstheme="minorHAnsi"/>
          <w:sz w:val="20"/>
        </w:rPr>
        <w:t xml:space="preserve">(site QualiAgro). Le </w:t>
      </w:r>
      <w:r w:rsidR="00BF72CE" w:rsidRPr="003867B1">
        <w:rPr>
          <w:rFonts w:cstheme="minorHAnsi"/>
          <w:sz w:val="20"/>
        </w:rPr>
        <w:t>stage</w:t>
      </w:r>
      <w:r w:rsidRPr="003867B1">
        <w:rPr>
          <w:rFonts w:cstheme="minorHAnsi"/>
          <w:sz w:val="20"/>
        </w:rPr>
        <w:t xml:space="preserve"> se focalisera </w:t>
      </w:r>
      <w:r w:rsidRPr="003867B1">
        <w:rPr>
          <w:rFonts w:cstheme="minorHAnsi"/>
          <w:i/>
          <w:sz w:val="20"/>
        </w:rPr>
        <w:t>Enchytraeus albidus</w:t>
      </w:r>
      <w:r w:rsidRPr="003867B1">
        <w:rPr>
          <w:rFonts w:cstheme="minorHAnsi"/>
          <w:sz w:val="20"/>
        </w:rPr>
        <w:t>, enchytréide modèle en écotoxicologie terrestre (norme OCDE220 ; mésofaune</w:t>
      </w:r>
      <w:r w:rsidR="00BF72CE" w:rsidRPr="003867B1">
        <w:rPr>
          <w:rFonts w:cstheme="minorHAnsi"/>
          <w:sz w:val="20"/>
        </w:rPr>
        <w:t>)</w:t>
      </w:r>
      <w:r w:rsidRPr="003867B1">
        <w:rPr>
          <w:rFonts w:cstheme="minorHAnsi"/>
          <w:sz w:val="20"/>
        </w:rPr>
        <w:t>.</w:t>
      </w:r>
    </w:p>
    <w:p w14:paraId="4E8EA34F" w14:textId="77777777" w:rsidR="002B1619" w:rsidRPr="003867B1" w:rsidRDefault="002B1619" w:rsidP="00336A82">
      <w:pPr>
        <w:spacing w:before="120" w:after="0" w:line="240" w:lineRule="auto"/>
        <w:jc w:val="both"/>
        <w:rPr>
          <w:rFonts w:cstheme="minorHAnsi"/>
          <w:sz w:val="20"/>
        </w:rPr>
      </w:pPr>
    </w:p>
    <w:p w14:paraId="511BE7B0" w14:textId="64ADD616" w:rsidR="00683AEC" w:rsidRPr="003867B1" w:rsidRDefault="003875BA" w:rsidP="00336A82">
      <w:pPr>
        <w:spacing w:before="120" w:after="0" w:line="240" w:lineRule="auto"/>
        <w:jc w:val="both"/>
        <w:rPr>
          <w:rFonts w:cstheme="minorHAnsi"/>
          <w:b/>
          <w:color w:val="008080"/>
          <w:sz w:val="20"/>
        </w:rPr>
      </w:pPr>
      <w:r>
        <w:rPr>
          <w:rFonts w:cstheme="minorHAnsi"/>
          <w:b/>
          <w:color w:val="008080"/>
          <w:sz w:val="20"/>
        </w:rPr>
        <w:t>Missions</w:t>
      </w:r>
    </w:p>
    <w:p w14:paraId="36942A8C" w14:textId="77777777" w:rsidR="00683AEC" w:rsidRPr="003867B1" w:rsidRDefault="00683AEC" w:rsidP="00336A82">
      <w:pPr>
        <w:spacing w:before="120" w:after="0" w:line="240" w:lineRule="auto"/>
        <w:jc w:val="both"/>
        <w:rPr>
          <w:rFonts w:cstheme="minorHAnsi"/>
          <w:sz w:val="20"/>
        </w:rPr>
      </w:pPr>
      <w:r w:rsidRPr="003867B1">
        <w:rPr>
          <w:rFonts w:cstheme="minorHAnsi"/>
          <w:sz w:val="20"/>
        </w:rPr>
        <w:t xml:space="preserve">Les effets des différents MPs, apportés à différentes teneurs sur </w:t>
      </w:r>
      <w:r w:rsidR="00213905" w:rsidRPr="003867B1">
        <w:rPr>
          <w:rFonts w:cstheme="minorHAnsi"/>
          <w:i/>
          <w:sz w:val="20"/>
        </w:rPr>
        <w:t>Enchytraeus albidus</w:t>
      </w:r>
      <w:r w:rsidRPr="003867B1">
        <w:rPr>
          <w:rFonts w:cstheme="minorHAnsi"/>
          <w:sz w:val="20"/>
        </w:rPr>
        <w:t xml:space="preserve"> seront étudiés par le biais d'expériences menées en conditions de laboratoire standardisées dans des microcosmes de sol dans lesquels les enchytréides seront introduits en comparaison avec un témoin (sol sans MPs). Les MPs seront mélangés de manière homogène avec le sol à une concentration environnementale et à une concentration 5 fois plus élevée afin de considérer à la fois les effets écotoxicologiques chroniques et aigus. L'impact des MPs sur les </w:t>
      </w:r>
      <w:r w:rsidR="00213905" w:rsidRPr="003867B1">
        <w:rPr>
          <w:rFonts w:cstheme="minorHAnsi"/>
          <w:sz w:val="20"/>
        </w:rPr>
        <w:t>enchytréides</w:t>
      </w:r>
      <w:r w:rsidRPr="003867B1">
        <w:rPr>
          <w:rFonts w:cstheme="minorHAnsi"/>
          <w:sz w:val="20"/>
        </w:rPr>
        <w:t xml:space="preserve"> sera suivi dans le temps pendant 6-8 semaines en mesurant leur abondance (survie), le nombre de juvéniles (reproduction) et leur biomasse (croissance).</w:t>
      </w:r>
    </w:p>
    <w:p w14:paraId="6D310E01" w14:textId="77777777" w:rsidR="00683AEC" w:rsidRPr="003867B1" w:rsidRDefault="00683AEC" w:rsidP="00336A82">
      <w:pPr>
        <w:spacing w:before="120" w:after="0" w:line="240" w:lineRule="auto"/>
        <w:jc w:val="both"/>
        <w:rPr>
          <w:rFonts w:cstheme="minorHAnsi"/>
          <w:sz w:val="20"/>
        </w:rPr>
      </w:pPr>
    </w:p>
    <w:p w14:paraId="0DF331B4" w14:textId="77777777" w:rsidR="00683AEC" w:rsidRPr="003867B1" w:rsidRDefault="00683AEC" w:rsidP="00336A82">
      <w:pPr>
        <w:spacing w:before="120" w:after="0" w:line="240" w:lineRule="auto"/>
        <w:jc w:val="both"/>
        <w:rPr>
          <w:rFonts w:cstheme="minorHAnsi"/>
          <w:b/>
          <w:color w:val="008080"/>
          <w:sz w:val="20"/>
        </w:rPr>
      </w:pPr>
      <w:r w:rsidRPr="003867B1">
        <w:rPr>
          <w:rFonts w:cstheme="minorHAnsi"/>
          <w:b/>
          <w:color w:val="008080"/>
          <w:sz w:val="20"/>
        </w:rPr>
        <w:lastRenderedPageBreak/>
        <w:t>Compétences recherchées</w:t>
      </w:r>
    </w:p>
    <w:p w14:paraId="45C68B40" w14:textId="330DEBE7" w:rsidR="00683AEC" w:rsidRPr="003867B1" w:rsidRDefault="00683AEC" w:rsidP="003867B1">
      <w:pPr>
        <w:spacing w:after="0" w:line="240" w:lineRule="auto"/>
        <w:jc w:val="both"/>
        <w:rPr>
          <w:rFonts w:cstheme="minorHAnsi"/>
          <w:sz w:val="20"/>
        </w:rPr>
      </w:pPr>
      <w:r w:rsidRPr="003867B1">
        <w:rPr>
          <w:rFonts w:cstheme="minorHAnsi"/>
          <w:sz w:val="20"/>
        </w:rPr>
        <w:t>Master 2 ou Ecole d’ingénieurs en science</w:t>
      </w:r>
      <w:r w:rsidR="00336A82" w:rsidRPr="003867B1">
        <w:rPr>
          <w:rFonts w:cstheme="minorHAnsi"/>
          <w:sz w:val="20"/>
        </w:rPr>
        <w:t xml:space="preserve"> du sol, </w:t>
      </w:r>
      <w:r w:rsidRPr="003867B1">
        <w:rPr>
          <w:rFonts w:cstheme="minorHAnsi"/>
          <w:sz w:val="20"/>
        </w:rPr>
        <w:t>science de l’environnement</w:t>
      </w:r>
      <w:r w:rsidR="00336A82" w:rsidRPr="003867B1">
        <w:rPr>
          <w:rFonts w:cstheme="minorHAnsi"/>
          <w:sz w:val="20"/>
        </w:rPr>
        <w:t xml:space="preserve">, </w:t>
      </w:r>
      <w:r w:rsidR="003875BA">
        <w:rPr>
          <w:rFonts w:cstheme="minorHAnsi"/>
          <w:sz w:val="20"/>
        </w:rPr>
        <w:t xml:space="preserve">biologie, </w:t>
      </w:r>
      <w:r w:rsidR="00336A82" w:rsidRPr="003867B1">
        <w:rPr>
          <w:rFonts w:cstheme="minorHAnsi"/>
          <w:sz w:val="20"/>
        </w:rPr>
        <w:t>écotoxicologie</w:t>
      </w:r>
      <w:r w:rsidRPr="003867B1">
        <w:rPr>
          <w:rFonts w:cstheme="minorHAnsi"/>
          <w:sz w:val="20"/>
        </w:rPr>
        <w:t xml:space="preserve"> ou domaines connexes.</w:t>
      </w:r>
    </w:p>
    <w:p w14:paraId="6CD8ED50" w14:textId="381FDB54" w:rsidR="00683AEC" w:rsidRDefault="00336A82" w:rsidP="003867B1">
      <w:pPr>
        <w:spacing w:after="0" w:line="240" w:lineRule="auto"/>
        <w:jc w:val="both"/>
        <w:rPr>
          <w:rFonts w:cstheme="minorHAnsi"/>
          <w:sz w:val="20"/>
        </w:rPr>
      </w:pPr>
      <w:r w:rsidRPr="003867B1">
        <w:rPr>
          <w:rFonts w:cstheme="minorHAnsi"/>
          <w:sz w:val="20"/>
        </w:rPr>
        <w:t>Autonomie,</w:t>
      </w:r>
      <w:r w:rsidR="00AE42DE" w:rsidRPr="00AE42DE">
        <w:t xml:space="preserve"> </w:t>
      </w:r>
      <w:r w:rsidR="00AE42DE">
        <w:t>e</w:t>
      </w:r>
      <w:r w:rsidR="00AE42DE" w:rsidRPr="00AE42DE">
        <w:rPr>
          <w:rFonts w:cstheme="minorHAnsi"/>
          <w:sz w:val="20"/>
        </w:rPr>
        <w:t>sprit critique, goût pour le travail en laboratoire</w:t>
      </w:r>
      <w:r w:rsidR="00AE42DE">
        <w:rPr>
          <w:rFonts w:cstheme="minorHAnsi"/>
          <w:sz w:val="20"/>
        </w:rPr>
        <w:t xml:space="preserve">, </w:t>
      </w:r>
      <w:r w:rsidR="00AE42DE" w:rsidRPr="003867B1">
        <w:rPr>
          <w:rFonts w:cstheme="minorHAnsi"/>
          <w:sz w:val="20"/>
        </w:rPr>
        <w:t>capacité rédactionnelle</w:t>
      </w:r>
      <w:r w:rsidR="00AE42DE" w:rsidRPr="00AE42DE">
        <w:rPr>
          <w:rFonts w:cstheme="minorHAnsi"/>
          <w:sz w:val="20"/>
        </w:rPr>
        <w:t xml:space="preserve">. </w:t>
      </w:r>
      <w:r w:rsidR="00AE42DE">
        <w:rPr>
          <w:rFonts w:cstheme="minorHAnsi"/>
          <w:sz w:val="20"/>
        </w:rPr>
        <w:t>R</w:t>
      </w:r>
      <w:r w:rsidR="00AE42DE" w:rsidRPr="00AE42DE">
        <w:rPr>
          <w:rFonts w:cstheme="minorHAnsi"/>
          <w:sz w:val="20"/>
        </w:rPr>
        <w:t>igueur, soin et capacités d’organisation seront également attendus</w:t>
      </w:r>
      <w:r w:rsidR="00AE42DE">
        <w:rPr>
          <w:rFonts w:cstheme="minorHAnsi"/>
          <w:sz w:val="20"/>
        </w:rPr>
        <w:t xml:space="preserve">. </w:t>
      </w:r>
    </w:p>
    <w:p w14:paraId="22F8BBC9" w14:textId="77777777" w:rsidR="003875BA" w:rsidRDefault="003875BA" w:rsidP="00336A82">
      <w:pPr>
        <w:spacing w:before="120" w:after="0" w:line="240" w:lineRule="auto"/>
        <w:jc w:val="both"/>
      </w:pPr>
    </w:p>
    <w:p w14:paraId="1965BC0E" w14:textId="06631A68" w:rsidR="00683AEC" w:rsidRPr="003867B1" w:rsidRDefault="00683AEC" w:rsidP="00336A82">
      <w:pPr>
        <w:spacing w:before="120" w:after="0" w:line="240" w:lineRule="auto"/>
        <w:jc w:val="both"/>
        <w:rPr>
          <w:rFonts w:cstheme="minorHAnsi"/>
          <w:b/>
          <w:color w:val="008080"/>
          <w:sz w:val="20"/>
        </w:rPr>
      </w:pPr>
      <w:bookmarkStart w:id="0" w:name="_GoBack"/>
      <w:bookmarkEnd w:id="0"/>
      <w:r w:rsidRPr="003867B1">
        <w:rPr>
          <w:rFonts w:cstheme="minorHAnsi"/>
          <w:b/>
          <w:color w:val="008080"/>
          <w:sz w:val="20"/>
        </w:rPr>
        <w:t>Modalités d’accueil</w:t>
      </w:r>
    </w:p>
    <w:p w14:paraId="6EEC2C6A" w14:textId="671D93B9" w:rsidR="00683AEC" w:rsidRPr="003867B1" w:rsidRDefault="00683AEC" w:rsidP="003867B1">
      <w:pPr>
        <w:spacing w:after="0" w:line="240" w:lineRule="auto"/>
        <w:jc w:val="both"/>
        <w:rPr>
          <w:rFonts w:cstheme="minorHAnsi"/>
          <w:sz w:val="20"/>
        </w:rPr>
      </w:pPr>
      <w:r w:rsidRPr="003867B1">
        <w:rPr>
          <w:rFonts w:cstheme="minorHAnsi"/>
          <w:sz w:val="20"/>
        </w:rPr>
        <w:t>Laboratoire d’accueil</w:t>
      </w:r>
      <w:r w:rsidR="00AE42DE">
        <w:rPr>
          <w:rFonts w:cstheme="minorHAnsi"/>
          <w:sz w:val="20"/>
        </w:rPr>
        <w:t xml:space="preserve"> </w:t>
      </w:r>
      <w:r w:rsidRPr="003867B1">
        <w:rPr>
          <w:rFonts w:cstheme="minorHAnsi"/>
          <w:sz w:val="20"/>
        </w:rPr>
        <w:t xml:space="preserve">: UMR </w:t>
      </w:r>
      <w:r w:rsidR="00336A82" w:rsidRPr="003867B1">
        <w:rPr>
          <w:rFonts w:cstheme="minorHAnsi"/>
          <w:sz w:val="20"/>
        </w:rPr>
        <w:t xml:space="preserve">INRAE-AgroParisTech </w:t>
      </w:r>
      <w:r w:rsidRPr="003867B1">
        <w:rPr>
          <w:rFonts w:cstheme="minorHAnsi"/>
          <w:sz w:val="20"/>
        </w:rPr>
        <w:t xml:space="preserve">ECOSYS, </w:t>
      </w:r>
      <w:r w:rsidR="00336A82" w:rsidRPr="003867B1">
        <w:rPr>
          <w:rFonts w:cstheme="minorHAnsi"/>
          <w:sz w:val="20"/>
        </w:rPr>
        <w:t>22 Place de L'Agronomie, 91</w:t>
      </w:r>
      <w:r w:rsidR="00AE42DE">
        <w:rPr>
          <w:rFonts w:cstheme="minorHAnsi"/>
          <w:sz w:val="20"/>
        </w:rPr>
        <w:t>12</w:t>
      </w:r>
      <w:r w:rsidR="00336A82" w:rsidRPr="003867B1">
        <w:rPr>
          <w:rFonts w:cstheme="minorHAnsi"/>
          <w:sz w:val="20"/>
        </w:rPr>
        <w:t>0 Palaiseau</w:t>
      </w:r>
    </w:p>
    <w:p w14:paraId="7570DBB6" w14:textId="77777777" w:rsidR="00683AEC" w:rsidRPr="00AE42DE" w:rsidRDefault="00683AEC" w:rsidP="003867B1">
      <w:pPr>
        <w:spacing w:after="0" w:line="240" w:lineRule="auto"/>
        <w:jc w:val="both"/>
        <w:rPr>
          <w:rFonts w:cstheme="minorHAnsi"/>
          <w:sz w:val="20"/>
        </w:rPr>
      </w:pPr>
      <w:r w:rsidRPr="003867B1">
        <w:rPr>
          <w:rFonts w:cstheme="minorHAnsi"/>
          <w:sz w:val="20"/>
        </w:rPr>
        <w:t xml:space="preserve">Indemnité : Environ </w:t>
      </w:r>
      <w:r w:rsidRPr="00AE42DE">
        <w:rPr>
          <w:rFonts w:cstheme="minorHAnsi"/>
          <w:sz w:val="20"/>
        </w:rPr>
        <w:t xml:space="preserve">570 euros/mois </w:t>
      </w:r>
    </w:p>
    <w:p w14:paraId="05A9C30A" w14:textId="77777777" w:rsidR="00336A82" w:rsidRPr="00AE42DE" w:rsidRDefault="00336A82" w:rsidP="00336A82">
      <w:pPr>
        <w:spacing w:before="120" w:after="0" w:line="240" w:lineRule="auto"/>
        <w:jc w:val="both"/>
        <w:rPr>
          <w:rFonts w:cstheme="minorHAnsi"/>
          <w:sz w:val="20"/>
        </w:rPr>
      </w:pPr>
    </w:p>
    <w:p w14:paraId="5CAC1C17" w14:textId="77777777" w:rsidR="00683AEC" w:rsidRPr="00AE42DE" w:rsidRDefault="00683AEC" w:rsidP="00336A82">
      <w:pPr>
        <w:spacing w:before="120" w:after="0" w:line="240" w:lineRule="auto"/>
        <w:jc w:val="both"/>
        <w:rPr>
          <w:rFonts w:cstheme="minorHAnsi"/>
          <w:b/>
          <w:color w:val="008080"/>
          <w:sz w:val="20"/>
        </w:rPr>
      </w:pPr>
      <w:r w:rsidRPr="00AE42DE">
        <w:rPr>
          <w:rFonts w:cstheme="minorHAnsi"/>
          <w:b/>
          <w:color w:val="008080"/>
          <w:sz w:val="20"/>
        </w:rPr>
        <w:t>Modalités de candidature </w:t>
      </w:r>
    </w:p>
    <w:p w14:paraId="51BE86CE" w14:textId="231B0CBF" w:rsidR="00683AEC" w:rsidRPr="003867B1" w:rsidRDefault="00336A82" w:rsidP="00336A82">
      <w:pPr>
        <w:spacing w:before="120" w:after="0" w:line="240" w:lineRule="auto"/>
        <w:jc w:val="both"/>
        <w:rPr>
          <w:rFonts w:cstheme="minorHAnsi"/>
          <w:sz w:val="20"/>
        </w:rPr>
      </w:pPr>
      <w:r w:rsidRPr="00AE42DE">
        <w:rPr>
          <w:rFonts w:cstheme="minorHAnsi"/>
          <w:sz w:val="20"/>
        </w:rPr>
        <w:t>CV et</w:t>
      </w:r>
      <w:r w:rsidR="00683AEC" w:rsidRPr="00AE42DE">
        <w:rPr>
          <w:rFonts w:cstheme="minorHAnsi"/>
          <w:sz w:val="20"/>
        </w:rPr>
        <w:t xml:space="preserve"> lettre de motivation à envoyer par mail à </w:t>
      </w:r>
      <w:r w:rsidRPr="00AE42DE">
        <w:rPr>
          <w:rFonts w:cstheme="minorHAnsi"/>
          <w:sz w:val="20"/>
        </w:rPr>
        <w:t>Juliette Faburé (</w:t>
      </w:r>
      <w:hyperlink r:id="rId9" w:history="1">
        <w:r w:rsidRPr="00AE42DE">
          <w:rPr>
            <w:rStyle w:val="Lienhypertexte"/>
            <w:rFonts w:cstheme="minorHAnsi"/>
            <w:sz w:val="20"/>
          </w:rPr>
          <w:t>juliette.fabure@agroparistech.fr</w:t>
        </w:r>
      </w:hyperlink>
      <w:r w:rsidRPr="00AE42DE">
        <w:rPr>
          <w:rFonts w:cstheme="minorHAnsi"/>
          <w:sz w:val="20"/>
        </w:rPr>
        <w:t>) et Laure Vieublé</w:t>
      </w:r>
      <w:r w:rsidR="00683AEC" w:rsidRPr="00AE42DE">
        <w:rPr>
          <w:rFonts w:cstheme="minorHAnsi"/>
          <w:sz w:val="20"/>
        </w:rPr>
        <w:t xml:space="preserve"> Gonod (</w:t>
      </w:r>
      <w:hyperlink r:id="rId10" w:history="1">
        <w:r w:rsidRPr="00AE42DE">
          <w:rPr>
            <w:rStyle w:val="Lienhypertexte"/>
            <w:rFonts w:cstheme="minorHAnsi"/>
            <w:sz w:val="20"/>
          </w:rPr>
          <w:t>laure.vieuble@agroparistech.fr</w:t>
        </w:r>
      </w:hyperlink>
      <w:r w:rsidR="00683AEC" w:rsidRPr="00AE42DE">
        <w:rPr>
          <w:rFonts w:cstheme="minorHAnsi"/>
          <w:sz w:val="20"/>
        </w:rPr>
        <w:t xml:space="preserve">) avant </w:t>
      </w:r>
      <w:r w:rsidR="00AE42DE" w:rsidRPr="00AE42DE">
        <w:rPr>
          <w:rFonts w:cstheme="minorHAnsi"/>
          <w:sz w:val="20"/>
        </w:rPr>
        <w:t>le 15</w:t>
      </w:r>
      <w:r w:rsidRPr="00AE42DE">
        <w:rPr>
          <w:rFonts w:cstheme="minorHAnsi"/>
          <w:sz w:val="20"/>
        </w:rPr>
        <w:t xml:space="preserve"> </w:t>
      </w:r>
      <w:r w:rsidR="00475DE1" w:rsidRPr="00AE42DE">
        <w:rPr>
          <w:rFonts w:cstheme="minorHAnsi"/>
          <w:sz w:val="20"/>
        </w:rPr>
        <w:t>décembre</w:t>
      </w:r>
      <w:r w:rsidR="00683AEC" w:rsidRPr="00AE42DE">
        <w:rPr>
          <w:rFonts w:cstheme="minorHAnsi"/>
          <w:sz w:val="20"/>
        </w:rPr>
        <w:t xml:space="preserve"> </w:t>
      </w:r>
      <w:r w:rsidRPr="00AE42DE">
        <w:rPr>
          <w:rFonts w:cstheme="minorHAnsi"/>
          <w:sz w:val="20"/>
        </w:rPr>
        <w:t>202</w:t>
      </w:r>
      <w:r w:rsidR="00AE42DE" w:rsidRPr="00AE42DE">
        <w:rPr>
          <w:rFonts w:cstheme="minorHAnsi"/>
          <w:sz w:val="20"/>
        </w:rPr>
        <w:t>3</w:t>
      </w:r>
      <w:r w:rsidR="00683AEC" w:rsidRPr="00AE42DE">
        <w:rPr>
          <w:rFonts w:cstheme="minorHAnsi"/>
          <w:sz w:val="20"/>
        </w:rPr>
        <w:t>.</w:t>
      </w:r>
    </w:p>
    <w:p w14:paraId="15466E9F" w14:textId="77777777" w:rsidR="00336A82" w:rsidRPr="003867B1" w:rsidRDefault="00336A82" w:rsidP="00336A82">
      <w:pPr>
        <w:spacing w:before="120" w:after="0" w:line="240" w:lineRule="auto"/>
        <w:jc w:val="both"/>
        <w:rPr>
          <w:rFonts w:cstheme="minorHAnsi"/>
          <w:sz w:val="20"/>
        </w:rPr>
      </w:pPr>
    </w:p>
    <w:p w14:paraId="4A0E7ED0" w14:textId="77777777" w:rsidR="00683AEC" w:rsidRPr="003867B1" w:rsidRDefault="00683AEC" w:rsidP="00336A82">
      <w:pPr>
        <w:spacing w:before="120" w:after="0" w:line="240" w:lineRule="auto"/>
        <w:jc w:val="both"/>
        <w:rPr>
          <w:rFonts w:cstheme="minorHAnsi"/>
          <w:b/>
          <w:color w:val="008080"/>
          <w:sz w:val="20"/>
        </w:rPr>
      </w:pPr>
      <w:r w:rsidRPr="003867B1">
        <w:rPr>
          <w:rFonts w:cstheme="minorHAnsi"/>
          <w:b/>
          <w:color w:val="008080"/>
          <w:sz w:val="20"/>
        </w:rPr>
        <w:t>Références</w:t>
      </w:r>
    </w:p>
    <w:p w14:paraId="2923BC1E" w14:textId="77777777" w:rsidR="008C6BFF" w:rsidRPr="003867B1" w:rsidRDefault="008C6BFF" w:rsidP="003867B1">
      <w:pPr>
        <w:pStyle w:val="Notedebasdepage"/>
        <w:ind w:left="567" w:hanging="567"/>
        <w:jc w:val="both"/>
        <w:rPr>
          <w:rFonts w:asciiTheme="minorHAnsi" w:hAnsiTheme="minorHAnsi" w:cstheme="minorHAnsi"/>
          <w:sz w:val="18"/>
          <w:szCs w:val="22"/>
          <w:lang w:val="en-GB"/>
        </w:rPr>
      </w:pPr>
      <w:r w:rsidRPr="003875BA">
        <w:rPr>
          <w:rFonts w:asciiTheme="minorHAnsi" w:hAnsiTheme="minorHAnsi" w:cstheme="minorHAnsi"/>
          <w:sz w:val="18"/>
          <w:szCs w:val="22"/>
        </w:rPr>
        <w:t xml:space="preserve">Beylich, A., Graefe, U. (2009). </w:t>
      </w:r>
      <w:r w:rsidRPr="003867B1">
        <w:rPr>
          <w:rFonts w:asciiTheme="minorHAnsi" w:hAnsiTheme="minorHAnsi" w:cstheme="minorHAnsi"/>
          <w:sz w:val="18"/>
          <w:szCs w:val="22"/>
          <w:lang w:val="en-GB"/>
        </w:rPr>
        <w:t>Investigations of annelids at soil monitoring sites in Northern Germany: reference ranges and time-series data. Soil Organisms, 81, 175-196.</w:t>
      </w:r>
    </w:p>
    <w:p w14:paraId="5AF49A79" w14:textId="77777777" w:rsidR="008C6BFF" w:rsidRPr="003867B1" w:rsidRDefault="008C6BFF" w:rsidP="003867B1">
      <w:pPr>
        <w:pStyle w:val="Notedebasdepage"/>
        <w:ind w:left="567" w:hanging="567"/>
        <w:jc w:val="both"/>
        <w:rPr>
          <w:rFonts w:asciiTheme="minorHAnsi" w:hAnsiTheme="minorHAnsi" w:cstheme="minorHAnsi"/>
          <w:sz w:val="18"/>
          <w:szCs w:val="22"/>
          <w:lang w:val="en-GB"/>
        </w:rPr>
      </w:pPr>
      <w:r w:rsidRPr="003867B1">
        <w:rPr>
          <w:rFonts w:asciiTheme="minorHAnsi" w:hAnsiTheme="minorHAnsi" w:cstheme="minorHAnsi"/>
          <w:sz w:val="18"/>
          <w:szCs w:val="22"/>
          <w:lang w:val="en-GB"/>
        </w:rPr>
        <w:t>Büks, F. et Kaupenjohann, M. (2020). Global concentrations of microplastics in soils-a review. Soil, 6, 649-662.</w:t>
      </w:r>
    </w:p>
    <w:p w14:paraId="74D6EA0C" w14:textId="77777777" w:rsidR="00BF72CE" w:rsidRPr="003867B1" w:rsidRDefault="00BF72CE" w:rsidP="003867B1">
      <w:pPr>
        <w:pStyle w:val="Notedebasdepage"/>
        <w:ind w:left="567" w:hanging="567"/>
        <w:jc w:val="both"/>
        <w:rPr>
          <w:rFonts w:asciiTheme="minorHAnsi" w:hAnsiTheme="minorHAnsi" w:cstheme="minorHAnsi"/>
          <w:sz w:val="18"/>
          <w:szCs w:val="22"/>
          <w:lang w:val="en-GB"/>
        </w:rPr>
      </w:pPr>
      <w:r w:rsidRPr="003867B1">
        <w:rPr>
          <w:rFonts w:asciiTheme="minorHAnsi" w:hAnsiTheme="minorHAnsi" w:cstheme="minorHAnsi"/>
          <w:sz w:val="18"/>
          <w:szCs w:val="22"/>
          <w:lang w:val="en-GB"/>
        </w:rPr>
        <w:t>Cao, D., Wang, X., Luo, X., Liu, G., Zheng, H.</w:t>
      </w:r>
      <w:r w:rsidR="00336A82" w:rsidRPr="003867B1">
        <w:rPr>
          <w:rFonts w:asciiTheme="minorHAnsi" w:hAnsiTheme="minorHAnsi" w:cstheme="minorHAnsi"/>
          <w:sz w:val="18"/>
          <w:szCs w:val="22"/>
          <w:lang w:val="en-GB"/>
        </w:rPr>
        <w:t xml:space="preserve"> (</w:t>
      </w:r>
      <w:r w:rsidRPr="003867B1">
        <w:rPr>
          <w:rFonts w:asciiTheme="minorHAnsi" w:hAnsiTheme="minorHAnsi" w:cstheme="minorHAnsi"/>
          <w:sz w:val="18"/>
          <w:szCs w:val="22"/>
          <w:lang w:val="en-GB"/>
        </w:rPr>
        <w:t>2017</w:t>
      </w:r>
      <w:r w:rsidR="00336A82" w:rsidRPr="003867B1">
        <w:rPr>
          <w:rFonts w:asciiTheme="minorHAnsi" w:hAnsiTheme="minorHAnsi" w:cstheme="minorHAnsi"/>
          <w:sz w:val="18"/>
          <w:szCs w:val="22"/>
          <w:lang w:val="en-GB"/>
        </w:rPr>
        <w:t>)</w:t>
      </w:r>
      <w:r w:rsidRPr="003867B1">
        <w:rPr>
          <w:rFonts w:asciiTheme="minorHAnsi" w:hAnsiTheme="minorHAnsi" w:cstheme="minorHAnsi"/>
          <w:sz w:val="18"/>
          <w:szCs w:val="22"/>
          <w:lang w:val="en-GB"/>
        </w:rPr>
        <w:t>. Effects of polystyrene microplastics on the fitness of earthworms in an agricultural soil. IOP Conferences Series: Earth and Environmental Science. 61, 012148.</w:t>
      </w:r>
    </w:p>
    <w:p w14:paraId="73DDC33F" w14:textId="77777777" w:rsidR="008C6BFF" w:rsidRPr="003867B1" w:rsidRDefault="008C6BFF" w:rsidP="003867B1">
      <w:pPr>
        <w:pStyle w:val="Notedebasdepage"/>
        <w:ind w:left="567" w:hanging="567"/>
        <w:jc w:val="both"/>
        <w:rPr>
          <w:rFonts w:asciiTheme="minorHAnsi" w:hAnsiTheme="minorHAnsi" w:cstheme="minorHAnsi"/>
          <w:sz w:val="18"/>
          <w:szCs w:val="22"/>
          <w:lang w:val="en-GB"/>
        </w:rPr>
      </w:pPr>
      <w:r w:rsidRPr="003867B1">
        <w:rPr>
          <w:rFonts w:asciiTheme="minorHAnsi" w:hAnsiTheme="minorHAnsi" w:cstheme="minorHAnsi"/>
          <w:sz w:val="18"/>
          <w:szCs w:val="22"/>
          <w:lang w:val="en-GB"/>
        </w:rPr>
        <w:t>Didden W.A.M. (1991). Population ecology and functioning of Enchytraeidae in some arable farming systems. PhD Dissertation, Agricultural University Wageningen, The Netherlands</w:t>
      </w:r>
    </w:p>
    <w:p w14:paraId="1D982F84" w14:textId="77777777" w:rsidR="008C6BFF" w:rsidRPr="003867B1" w:rsidRDefault="008C6BFF" w:rsidP="003867B1">
      <w:pPr>
        <w:pStyle w:val="Notedebasdepage"/>
        <w:ind w:left="567" w:hanging="567"/>
        <w:jc w:val="both"/>
        <w:rPr>
          <w:rFonts w:asciiTheme="minorHAnsi" w:hAnsiTheme="minorHAnsi" w:cstheme="minorHAnsi"/>
          <w:sz w:val="18"/>
          <w:szCs w:val="22"/>
          <w:lang w:val="en-GB"/>
        </w:rPr>
      </w:pPr>
      <w:r w:rsidRPr="003867B1">
        <w:rPr>
          <w:rFonts w:asciiTheme="minorHAnsi" w:hAnsiTheme="minorHAnsi" w:cstheme="minorHAnsi"/>
          <w:sz w:val="18"/>
          <w:szCs w:val="22"/>
          <w:lang w:val="en-GB"/>
        </w:rPr>
        <w:t>Didden, W., Römbke, J. (2001). Enchytraeids as indicator organisms for chemical stress in terrestrial ecosystems. Ecotoxicology and Environmental Safety, 50, 25-43.</w:t>
      </w:r>
    </w:p>
    <w:p w14:paraId="72639685" w14:textId="77777777" w:rsidR="008C6BFF" w:rsidRPr="003867B1" w:rsidRDefault="008C6BFF" w:rsidP="003867B1">
      <w:pPr>
        <w:pStyle w:val="Notedebasdepage"/>
        <w:ind w:left="567" w:hanging="567"/>
        <w:jc w:val="both"/>
        <w:rPr>
          <w:rFonts w:asciiTheme="minorHAnsi" w:hAnsiTheme="minorHAnsi" w:cstheme="minorHAnsi"/>
          <w:sz w:val="18"/>
          <w:szCs w:val="22"/>
          <w:lang w:val="en-GB"/>
        </w:rPr>
      </w:pPr>
      <w:r w:rsidRPr="003867B1">
        <w:rPr>
          <w:rFonts w:asciiTheme="minorHAnsi" w:hAnsiTheme="minorHAnsi" w:cstheme="minorHAnsi"/>
          <w:sz w:val="18"/>
          <w:szCs w:val="22"/>
          <w:lang w:val="en-GB"/>
        </w:rPr>
        <w:t>Friberg, H., Fayolle, L., Edel-Hermann, V., Gautheron, N., Steinberg, C.F.C. (2009). Response of Rhizoctonia solani to soil faunal grazing and organic amendments - different from general microbial dynamics. IOBC/WPRS Bulletin 42, 63-67.</w:t>
      </w:r>
    </w:p>
    <w:p w14:paraId="719255AA" w14:textId="77777777" w:rsidR="00336A82" w:rsidRPr="003867B1" w:rsidRDefault="00336A82" w:rsidP="003867B1">
      <w:pPr>
        <w:pStyle w:val="Notedebasdepage"/>
        <w:ind w:left="567" w:hanging="567"/>
        <w:jc w:val="both"/>
        <w:rPr>
          <w:rFonts w:asciiTheme="minorHAnsi" w:hAnsiTheme="minorHAnsi" w:cstheme="minorHAnsi"/>
          <w:sz w:val="18"/>
          <w:szCs w:val="22"/>
          <w:lang w:val="en-GB"/>
        </w:rPr>
      </w:pPr>
      <w:r w:rsidRPr="003867B1">
        <w:rPr>
          <w:rFonts w:asciiTheme="minorHAnsi" w:hAnsiTheme="minorHAnsi" w:cstheme="minorHAnsi"/>
          <w:sz w:val="18"/>
          <w:szCs w:val="22"/>
          <w:lang w:val="en-GB"/>
        </w:rPr>
        <w:t>Huang, Y., Zhao, Y., Wang, J., Zhang, M., Jia, W., &amp; Qin, X. (2019). LDPE microplastic films alter microbial community composition and enzymatic activities in soil. Environnmental Pollution. 254, 112983.</w:t>
      </w:r>
    </w:p>
    <w:p w14:paraId="15ED4396" w14:textId="77777777" w:rsidR="008C6BFF" w:rsidRPr="003867B1" w:rsidRDefault="008C6BFF" w:rsidP="003867B1">
      <w:pPr>
        <w:pStyle w:val="Notedebasdepage"/>
        <w:ind w:left="567" w:hanging="567"/>
        <w:jc w:val="both"/>
        <w:rPr>
          <w:rFonts w:asciiTheme="minorHAnsi" w:hAnsiTheme="minorHAnsi" w:cstheme="minorHAnsi"/>
          <w:sz w:val="18"/>
          <w:szCs w:val="22"/>
          <w:lang w:val="en-GB"/>
        </w:rPr>
      </w:pPr>
      <w:r w:rsidRPr="003867B1">
        <w:rPr>
          <w:rFonts w:asciiTheme="minorHAnsi" w:hAnsiTheme="minorHAnsi" w:cstheme="minorHAnsi"/>
          <w:sz w:val="18"/>
          <w:szCs w:val="22"/>
          <w:lang w:val="en-GB"/>
        </w:rPr>
        <w:t>Ingraffia, R., Amato, G., Bagarello, V., Carollo, F.G., Giambalvo, D., Iovino, M., Lehmann, A., Rillig, M.,C., Frenda, A. S. (2022). Polyester microplastic fibers affect soil physical properties and erosion as a function of soil type. Soil, 8, 421-435.</w:t>
      </w:r>
    </w:p>
    <w:p w14:paraId="4A468977" w14:textId="77777777" w:rsidR="00336A82" w:rsidRPr="003867B1" w:rsidRDefault="00336A82" w:rsidP="003867B1">
      <w:pPr>
        <w:pStyle w:val="Notedebasdepage"/>
        <w:ind w:left="567" w:hanging="567"/>
        <w:jc w:val="both"/>
        <w:rPr>
          <w:rFonts w:asciiTheme="minorHAnsi" w:hAnsiTheme="minorHAnsi" w:cstheme="minorHAnsi"/>
          <w:sz w:val="18"/>
          <w:szCs w:val="22"/>
          <w:lang w:val="en-GB"/>
        </w:rPr>
      </w:pPr>
      <w:r w:rsidRPr="003867B1">
        <w:rPr>
          <w:rFonts w:asciiTheme="minorHAnsi" w:hAnsiTheme="minorHAnsi" w:cstheme="minorHAnsi"/>
          <w:sz w:val="18"/>
          <w:szCs w:val="22"/>
          <w:lang w:val="en-GB"/>
        </w:rPr>
        <w:t>Kiyama, Y.; Miyahara, K.; Ohshima, Y. (2012). Active uptake of artificial particles in the nematode Caenorhabditis elegans. Journal of Experimental Biology, 215, 1178-1183.</w:t>
      </w:r>
    </w:p>
    <w:p w14:paraId="0F146802" w14:textId="77777777" w:rsidR="00336A82" w:rsidRPr="003867B1" w:rsidRDefault="00336A82" w:rsidP="003867B1">
      <w:pPr>
        <w:pStyle w:val="Notedebasdepage"/>
        <w:ind w:left="567" w:hanging="567"/>
        <w:jc w:val="both"/>
        <w:rPr>
          <w:rFonts w:asciiTheme="minorHAnsi" w:hAnsiTheme="minorHAnsi" w:cstheme="minorHAnsi"/>
          <w:sz w:val="18"/>
          <w:szCs w:val="22"/>
          <w:lang w:val="en-GB"/>
        </w:rPr>
      </w:pPr>
      <w:r w:rsidRPr="003867B1">
        <w:rPr>
          <w:rFonts w:asciiTheme="minorHAnsi" w:hAnsiTheme="minorHAnsi" w:cstheme="minorHAnsi"/>
          <w:sz w:val="18"/>
          <w:szCs w:val="22"/>
          <w:lang w:val="en-GB"/>
        </w:rPr>
        <w:t>Kim, S. W.; Waldman, W. R.; Kim, T.-Y.; Rillig, M. C. (2020). Effects of Different Microplastics on Nematodes in the Soil Environment: Tracking the Extractable Additives Using an Ecotoxicological Approach. Environmental Science &amp; Technology, 54, 13868-13878.</w:t>
      </w:r>
    </w:p>
    <w:p w14:paraId="1CE6DD09" w14:textId="77777777" w:rsidR="00BF72CE" w:rsidRPr="003867B1" w:rsidRDefault="00BF72CE" w:rsidP="003867B1">
      <w:pPr>
        <w:pStyle w:val="Notedebasdepage"/>
        <w:ind w:left="567" w:hanging="567"/>
        <w:jc w:val="both"/>
        <w:rPr>
          <w:rFonts w:asciiTheme="minorHAnsi" w:hAnsiTheme="minorHAnsi" w:cstheme="minorHAnsi"/>
          <w:sz w:val="18"/>
          <w:szCs w:val="22"/>
          <w:lang w:val="en-GB"/>
        </w:rPr>
      </w:pPr>
      <w:r w:rsidRPr="003867B1">
        <w:rPr>
          <w:rFonts w:asciiTheme="minorHAnsi" w:hAnsiTheme="minorHAnsi" w:cstheme="minorHAnsi"/>
          <w:sz w:val="18"/>
          <w:szCs w:val="22"/>
          <w:lang w:val="en-GB"/>
        </w:rPr>
        <w:t>Kwak, J.I., An, Y.J. (2021). Microplastic digestion generates fragmented nanoplastics in soils and damages earthworms spermatogenesis and coelomocyte viability. Journal of Hazardous Materials. 402, 124034.</w:t>
      </w:r>
    </w:p>
    <w:p w14:paraId="5FBA609C" w14:textId="77777777" w:rsidR="008C6BFF" w:rsidRPr="003867B1" w:rsidRDefault="008C6BFF" w:rsidP="003867B1">
      <w:pPr>
        <w:pStyle w:val="Notedebasdepage"/>
        <w:ind w:left="567" w:hanging="567"/>
        <w:jc w:val="both"/>
        <w:rPr>
          <w:rFonts w:asciiTheme="minorHAnsi" w:hAnsiTheme="minorHAnsi" w:cstheme="minorHAnsi"/>
          <w:sz w:val="18"/>
          <w:szCs w:val="22"/>
          <w:lang w:val="en-GB"/>
        </w:rPr>
      </w:pPr>
      <w:r w:rsidRPr="003867B1">
        <w:rPr>
          <w:rFonts w:asciiTheme="minorHAnsi" w:hAnsiTheme="minorHAnsi" w:cstheme="minorHAnsi"/>
          <w:sz w:val="18"/>
          <w:szCs w:val="22"/>
          <w:lang w:val="en-GB"/>
        </w:rPr>
        <w:t>Lagerlöf, J., Andrén, O., Paustian, K. (1989). Dynamics and contribution to carbon flows of Enchytraeidae (Oligochaeta) under four cropping systems. Journal of Applied Ecology, 26, 183-199.</w:t>
      </w:r>
    </w:p>
    <w:p w14:paraId="0C191F4F" w14:textId="77777777" w:rsidR="00336A82" w:rsidRPr="003867B1" w:rsidRDefault="00336A82" w:rsidP="003867B1">
      <w:pPr>
        <w:pStyle w:val="Notedebasdepage"/>
        <w:ind w:left="567" w:hanging="567"/>
        <w:jc w:val="both"/>
        <w:rPr>
          <w:rFonts w:asciiTheme="minorHAnsi" w:hAnsiTheme="minorHAnsi" w:cstheme="minorHAnsi"/>
          <w:sz w:val="18"/>
          <w:szCs w:val="22"/>
          <w:lang w:val="en-GB"/>
        </w:rPr>
      </w:pPr>
      <w:r w:rsidRPr="003867B1">
        <w:rPr>
          <w:rFonts w:asciiTheme="minorHAnsi" w:hAnsiTheme="minorHAnsi" w:cstheme="minorHAnsi"/>
          <w:sz w:val="18"/>
          <w:szCs w:val="22"/>
          <w:lang w:val="en-GB"/>
        </w:rPr>
        <w:t>Li, J., Song, Y., &amp; Cai, Y. (2020). Focus topics on microplastics in soil: analytical methods, occurrence, transport, and ecological risks. Environmental Pollution, 257, 113570.</w:t>
      </w:r>
    </w:p>
    <w:p w14:paraId="3AD2DCFC" w14:textId="77777777" w:rsidR="008C6BFF" w:rsidRPr="003875BA" w:rsidRDefault="008C6BFF" w:rsidP="003867B1">
      <w:pPr>
        <w:pStyle w:val="Notedebasdepage"/>
        <w:ind w:left="567" w:hanging="567"/>
        <w:jc w:val="both"/>
        <w:rPr>
          <w:rFonts w:asciiTheme="minorHAnsi" w:hAnsiTheme="minorHAnsi" w:cstheme="minorHAnsi"/>
          <w:sz w:val="18"/>
          <w:szCs w:val="22"/>
        </w:rPr>
      </w:pPr>
      <w:r w:rsidRPr="003867B1">
        <w:rPr>
          <w:rFonts w:asciiTheme="minorHAnsi" w:hAnsiTheme="minorHAnsi" w:cstheme="minorHAnsi"/>
          <w:sz w:val="18"/>
          <w:szCs w:val="22"/>
          <w:lang w:val="en-GB"/>
        </w:rPr>
        <w:t xml:space="preserve">Linden, D.R., Hendrix, P.F., Coleman, D.C., van Vliet, P.C.J. (1994). Faunal indicators of soil quality. In Defining soil quality for a sustainable environment (Doran J.W., Coleman D.C., Bezdicek D.F. &amp; Stewart B.A., eds.), Vol. 35, 91-106. </w:t>
      </w:r>
      <w:r w:rsidRPr="003875BA">
        <w:rPr>
          <w:rFonts w:asciiTheme="minorHAnsi" w:hAnsiTheme="minorHAnsi" w:cstheme="minorHAnsi"/>
          <w:sz w:val="18"/>
          <w:szCs w:val="22"/>
        </w:rPr>
        <w:t>SSSA Special Publication.</w:t>
      </w:r>
    </w:p>
    <w:p w14:paraId="46748DBB" w14:textId="77777777" w:rsidR="008C6BFF" w:rsidRPr="003875BA" w:rsidRDefault="008C6BFF" w:rsidP="003867B1">
      <w:pPr>
        <w:pStyle w:val="Notedebasdepage"/>
        <w:ind w:left="567" w:hanging="567"/>
        <w:jc w:val="both"/>
        <w:rPr>
          <w:rFonts w:asciiTheme="minorHAnsi" w:hAnsiTheme="minorHAnsi" w:cstheme="minorHAnsi"/>
          <w:sz w:val="18"/>
          <w:szCs w:val="22"/>
        </w:rPr>
      </w:pPr>
      <w:r w:rsidRPr="003875BA">
        <w:rPr>
          <w:rFonts w:asciiTheme="minorHAnsi" w:hAnsiTheme="minorHAnsi" w:cstheme="minorHAnsi"/>
          <w:sz w:val="18"/>
          <w:szCs w:val="22"/>
        </w:rPr>
        <w:t>Pelosi C., Capowiez Y. (2022). Les enchytréides, mieux les connaître pour mieux les utiliser. Étude et Gestion des Sols. 29. 59-67.</w:t>
      </w:r>
    </w:p>
    <w:p w14:paraId="006E2524" w14:textId="77777777" w:rsidR="008C6BFF" w:rsidRPr="003875BA" w:rsidRDefault="008C6BFF" w:rsidP="003867B1">
      <w:pPr>
        <w:pStyle w:val="Notedebasdepage"/>
        <w:ind w:left="567" w:hanging="567"/>
        <w:jc w:val="both"/>
        <w:rPr>
          <w:rFonts w:asciiTheme="minorHAnsi" w:hAnsiTheme="minorHAnsi" w:cstheme="minorHAnsi"/>
          <w:sz w:val="18"/>
          <w:szCs w:val="22"/>
        </w:rPr>
      </w:pPr>
      <w:r w:rsidRPr="003875BA">
        <w:rPr>
          <w:rFonts w:asciiTheme="minorHAnsi" w:hAnsiTheme="minorHAnsi" w:cstheme="minorHAnsi"/>
          <w:sz w:val="18"/>
          <w:szCs w:val="22"/>
        </w:rPr>
        <w:t>Pelosi C., Römbke J. (2016). Are Enchytraeidae (Oligochaeta, Annelida) good indicators of agricultural management practices? Soil Biology and Biochemistry, 100, 255-263.</w:t>
      </w:r>
    </w:p>
    <w:p w14:paraId="1C938044" w14:textId="77777777" w:rsidR="008C6BFF" w:rsidRPr="003875BA" w:rsidRDefault="008C6BFF" w:rsidP="003867B1">
      <w:pPr>
        <w:pStyle w:val="Notedebasdepage"/>
        <w:ind w:left="567" w:hanging="567"/>
        <w:jc w:val="both"/>
        <w:rPr>
          <w:rFonts w:asciiTheme="minorHAnsi" w:hAnsiTheme="minorHAnsi" w:cstheme="minorHAnsi"/>
          <w:sz w:val="18"/>
          <w:szCs w:val="22"/>
        </w:rPr>
      </w:pPr>
      <w:r w:rsidRPr="003875BA">
        <w:rPr>
          <w:rFonts w:asciiTheme="minorHAnsi" w:hAnsiTheme="minorHAnsi" w:cstheme="minorHAnsi"/>
          <w:sz w:val="18"/>
          <w:szCs w:val="22"/>
        </w:rPr>
        <w:t xml:space="preserve">Piehl, S., Leibner, A., Löder, M.G.J., Dris, R., Bogner, C., Laforsch, C. (2018). </w:t>
      </w:r>
      <w:r w:rsidRPr="003867B1">
        <w:rPr>
          <w:rFonts w:asciiTheme="minorHAnsi" w:hAnsiTheme="minorHAnsi" w:cstheme="minorHAnsi"/>
          <w:sz w:val="18"/>
          <w:szCs w:val="22"/>
          <w:lang w:val="en-GB"/>
        </w:rPr>
        <w:t xml:space="preserve">Identification and quantification of macro- and microplastics on an agricultural farmland. </w:t>
      </w:r>
      <w:r w:rsidRPr="003875BA">
        <w:rPr>
          <w:rFonts w:asciiTheme="minorHAnsi" w:hAnsiTheme="minorHAnsi" w:cstheme="minorHAnsi"/>
          <w:sz w:val="18"/>
          <w:szCs w:val="22"/>
        </w:rPr>
        <w:t>Scientific Reports, 8, 1-9.</w:t>
      </w:r>
    </w:p>
    <w:p w14:paraId="61AC6E4B" w14:textId="77777777" w:rsidR="00BF72CE" w:rsidRPr="003875BA" w:rsidRDefault="00BF72CE" w:rsidP="003867B1">
      <w:pPr>
        <w:pStyle w:val="Notedebasdepage"/>
        <w:ind w:left="567" w:hanging="567"/>
        <w:jc w:val="both"/>
        <w:rPr>
          <w:rFonts w:asciiTheme="minorHAnsi" w:hAnsiTheme="minorHAnsi" w:cstheme="minorHAnsi"/>
          <w:sz w:val="18"/>
          <w:szCs w:val="22"/>
        </w:rPr>
      </w:pPr>
      <w:r w:rsidRPr="003875BA">
        <w:rPr>
          <w:rFonts w:asciiTheme="minorHAnsi" w:hAnsiTheme="minorHAnsi" w:cstheme="minorHAnsi"/>
          <w:sz w:val="18"/>
          <w:szCs w:val="22"/>
        </w:rPr>
        <w:t xml:space="preserve">Rodriguez-Seijo, A., Lourenço, J., Rocha-Santos, T. A. P., Da Costa, J., Duarte, A. C., Vala, H., &amp; Pereira, R. (2017). </w:t>
      </w:r>
      <w:r w:rsidRPr="003867B1">
        <w:rPr>
          <w:rFonts w:asciiTheme="minorHAnsi" w:hAnsiTheme="minorHAnsi" w:cstheme="minorHAnsi"/>
          <w:sz w:val="18"/>
          <w:szCs w:val="22"/>
          <w:lang w:val="en-GB"/>
        </w:rPr>
        <w:t xml:space="preserve">Histopathological and molecular effects of microplastics in Eisenia andrei Bouché. </w:t>
      </w:r>
      <w:r w:rsidRPr="003875BA">
        <w:rPr>
          <w:rFonts w:asciiTheme="minorHAnsi" w:hAnsiTheme="minorHAnsi" w:cstheme="minorHAnsi"/>
          <w:sz w:val="18"/>
          <w:szCs w:val="22"/>
        </w:rPr>
        <w:t>Environmental Pollution, 220, 495-503.</w:t>
      </w:r>
    </w:p>
    <w:p w14:paraId="2F10246D" w14:textId="77777777" w:rsidR="008C6BFF" w:rsidRPr="003867B1" w:rsidRDefault="008C6BFF" w:rsidP="003867B1">
      <w:pPr>
        <w:pStyle w:val="Notedebasdepage"/>
        <w:ind w:left="567" w:hanging="567"/>
        <w:jc w:val="both"/>
        <w:rPr>
          <w:rFonts w:asciiTheme="minorHAnsi" w:hAnsiTheme="minorHAnsi" w:cstheme="minorHAnsi"/>
          <w:sz w:val="18"/>
          <w:szCs w:val="22"/>
          <w:lang w:val="en-GB"/>
        </w:rPr>
      </w:pPr>
      <w:r w:rsidRPr="003875BA">
        <w:rPr>
          <w:rFonts w:asciiTheme="minorHAnsi" w:hAnsiTheme="minorHAnsi" w:cstheme="minorHAnsi"/>
          <w:sz w:val="18"/>
          <w:szCs w:val="22"/>
        </w:rPr>
        <w:t xml:space="preserve">Rodríguez-Seijo, A., Santos, B., da Silva, E.F., Cachada, A. et Pereira, R. (2018). </w:t>
      </w:r>
      <w:r w:rsidRPr="003867B1">
        <w:rPr>
          <w:rFonts w:asciiTheme="minorHAnsi" w:hAnsiTheme="minorHAnsi" w:cstheme="minorHAnsi"/>
          <w:sz w:val="18"/>
          <w:szCs w:val="22"/>
          <w:lang w:val="en-GB"/>
        </w:rPr>
        <w:t>Low-density polyethylene microplastics as a source and carriers of agrochemicals to soil and earthworms. Environmental Chemistry, 16, 8-17.</w:t>
      </w:r>
    </w:p>
    <w:p w14:paraId="19523E6B" w14:textId="77777777" w:rsidR="008C6BFF" w:rsidRPr="003867B1" w:rsidRDefault="008C6BFF" w:rsidP="003867B1">
      <w:pPr>
        <w:pStyle w:val="Notedebasdepage"/>
        <w:ind w:left="567" w:hanging="567"/>
        <w:jc w:val="both"/>
        <w:rPr>
          <w:rFonts w:asciiTheme="minorHAnsi" w:hAnsiTheme="minorHAnsi" w:cstheme="minorHAnsi"/>
          <w:sz w:val="18"/>
          <w:szCs w:val="22"/>
          <w:lang w:val="en-GB"/>
        </w:rPr>
      </w:pPr>
      <w:r w:rsidRPr="003867B1">
        <w:rPr>
          <w:rFonts w:asciiTheme="minorHAnsi" w:hAnsiTheme="minorHAnsi" w:cstheme="minorHAnsi"/>
          <w:sz w:val="18"/>
          <w:szCs w:val="22"/>
          <w:lang w:val="en-GB"/>
        </w:rPr>
        <w:t>Roithmeier, O., Pieper, S. (2009). Influence of Enchytraeidae (Enchytraeus albidus) and compaction on nutrient mobilization in an urban soil. Pedobiol. 53, 29-40.</w:t>
      </w:r>
    </w:p>
    <w:p w14:paraId="03315A07" w14:textId="77777777" w:rsidR="00BF72CE" w:rsidRPr="003867B1" w:rsidRDefault="00BF72CE" w:rsidP="003867B1">
      <w:pPr>
        <w:pStyle w:val="Notedebasdepage"/>
        <w:ind w:left="567" w:hanging="567"/>
        <w:jc w:val="both"/>
        <w:rPr>
          <w:rFonts w:asciiTheme="minorHAnsi" w:hAnsiTheme="minorHAnsi" w:cstheme="minorHAnsi"/>
          <w:sz w:val="18"/>
          <w:szCs w:val="22"/>
          <w:lang w:val="en-GB"/>
        </w:rPr>
      </w:pPr>
      <w:r w:rsidRPr="003867B1">
        <w:rPr>
          <w:rFonts w:asciiTheme="minorHAnsi" w:hAnsiTheme="minorHAnsi" w:cstheme="minorHAnsi"/>
          <w:sz w:val="18"/>
          <w:szCs w:val="22"/>
          <w:lang w:val="en-GB"/>
        </w:rPr>
        <w:t>Sun, Y., Duan, C., Cao, N., Li, X., Li, X., Chen, Y., Huang, Y., Wang, J. (2022). Effects of microplastics on soil microbiome: The impacts of polymer type, shape, and concentration. Science of the Total Environment, 806, 150516.</w:t>
      </w:r>
    </w:p>
    <w:p w14:paraId="17577924" w14:textId="77777777" w:rsidR="008B53FA" w:rsidRPr="003867B1" w:rsidRDefault="008B53FA" w:rsidP="003867B1">
      <w:pPr>
        <w:pStyle w:val="Notedebasdepage"/>
        <w:ind w:left="567" w:hanging="567"/>
        <w:jc w:val="both"/>
        <w:rPr>
          <w:rFonts w:asciiTheme="minorHAnsi" w:hAnsiTheme="minorHAnsi" w:cstheme="minorHAnsi"/>
          <w:sz w:val="18"/>
          <w:szCs w:val="22"/>
          <w:lang w:val="en-GB"/>
        </w:rPr>
      </w:pPr>
      <w:r w:rsidRPr="003867B1">
        <w:rPr>
          <w:rFonts w:asciiTheme="minorHAnsi" w:hAnsiTheme="minorHAnsi" w:cstheme="minorHAnsi"/>
          <w:sz w:val="18"/>
          <w:szCs w:val="22"/>
          <w:lang w:val="en-GB"/>
        </w:rPr>
        <w:t>d</w:t>
      </w:r>
      <w:r w:rsidR="00336A82" w:rsidRPr="003867B1">
        <w:rPr>
          <w:rFonts w:asciiTheme="minorHAnsi" w:hAnsiTheme="minorHAnsi" w:cstheme="minorHAnsi"/>
          <w:sz w:val="18"/>
          <w:szCs w:val="22"/>
          <w:lang w:val="en-GB"/>
        </w:rPr>
        <w:t>e Souza Machado, A.A., Lau, C.</w:t>
      </w:r>
      <w:r w:rsidRPr="003867B1">
        <w:rPr>
          <w:rFonts w:asciiTheme="minorHAnsi" w:hAnsiTheme="minorHAnsi" w:cstheme="minorHAnsi"/>
          <w:sz w:val="18"/>
          <w:szCs w:val="22"/>
          <w:lang w:val="en-GB"/>
        </w:rPr>
        <w:t xml:space="preserve">W., Kloas, W., Bergmann, J., Bachelier, J. B., Faltin, E., </w:t>
      </w:r>
      <w:r w:rsidR="00336A82" w:rsidRPr="003867B1">
        <w:rPr>
          <w:rFonts w:asciiTheme="minorHAnsi" w:hAnsiTheme="minorHAnsi" w:cstheme="minorHAnsi"/>
          <w:sz w:val="18"/>
          <w:szCs w:val="22"/>
          <w:lang w:val="en-GB"/>
        </w:rPr>
        <w:t>Becker, R., Görlich, A.S., Rillig, M.</w:t>
      </w:r>
      <w:r w:rsidRPr="003867B1">
        <w:rPr>
          <w:rFonts w:asciiTheme="minorHAnsi" w:hAnsiTheme="minorHAnsi" w:cstheme="minorHAnsi"/>
          <w:sz w:val="18"/>
          <w:szCs w:val="22"/>
          <w:lang w:val="en-GB"/>
        </w:rPr>
        <w:t>C. (2019). Microplastics can change soil properties and affect plant performance. Environmental Science &amp; Technology, 53, 6044-6052.</w:t>
      </w:r>
    </w:p>
    <w:p w14:paraId="11CF0F35" w14:textId="77777777" w:rsidR="008C6BFF" w:rsidRPr="003867B1" w:rsidRDefault="008C6BFF" w:rsidP="003867B1">
      <w:pPr>
        <w:pStyle w:val="Notedebasdepage"/>
        <w:ind w:left="567" w:hanging="567"/>
        <w:jc w:val="both"/>
        <w:rPr>
          <w:rFonts w:asciiTheme="minorHAnsi" w:hAnsiTheme="minorHAnsi" w:cstheme="minorHAnsi"/>
          <w:sz w:val="18"/>
          <w:szCs w:val="22"/>
          <w:lang w:val="en-GB"/>
        </w:rPr>
      </w:pPr>
      <w:r w:rsidRPr="003867B1">
        <w:rPr>
          <w:rFonts w:asciiTheme="minorHAnsi" w:hAnsiTheme="minorHAnsi" w:cstheme="minorHAnsi"/>
          <w:sz w:val="18"/>
          <w:szCs w:val="22"/>
          <w:lang w:val="en-GB"/>
        </w:rPr>
        <w:t>Topoliantz, S., Ponge J.F., Viaux, P. (2000). Earthworm and enchytraeid activity under different arable farming systems, as exemplified by biogenic structures. Plant Soil, 225, 39-51.</w:t>
      </w:r>
    </w:p>
    <w:p w14:paraId="0702BD4C" w14:textId="1BD08037" w:rsidR="00746718" w:rsidRPr="003867B1" w:rsidRDefault="00C9437F" w:rsidP="00746718">
      <w:pPr>
        <w:pStyle w:val="Notedebasdepage"/>
        <w:ind w:left="567" w:hanging="567"/>
        <w:jc w:val="both"/>
        <w:rPr>
          <w:rFonts w:asciiTheme="minorHAnsi" w:hAnsiTheme="minorHAnsi" w:cstheme="minorHAnsi"/>
          <w:sz w:val="18"/>
          <w:szCs w:val="22"/>
          <w:lang w:val="en-GB"/>
        </w:rPr>
      </w:pPr>
      <w:r w:rsidRPr="003867B1">
        <w:rPr>
          <w:rFonts w:asciiTheme="minorHAnsi" w:hAnsiTheme="minorHAnsi" w:cstheme="minorHAnsi"/>
          <w:sz w:val="18"/>
          <w:szCs w:val="22"/>
          <w:lang w:val="en-GB"/>
        </w:rPr>
        <w:t xml:space="preserve">van Vliet P.C.J., </w:t>
      </w:r>
      <w:r w:rsidR="008C6BFF" w:rsidRPr="003867B1">
        <w:rPr>
          <w:rFonts w:asciiTheme="minorHAnsi" w:hAnsiTheme="minorHAnsi" w:cstheme="minorHAnsi"/>
          <w:sz w:val="18"/>
          <w:szCs w:val="22"/>
          <w:lang w:val="en-GB"/>
        </w:rPr>
        <w:t>Beare, M.H., Coleman, D.C. (</w:t>
      </w:r>
      <w:r w:rsidRPr="003867B1">
        <w:rPr>
          <w:rFonts w:asciiTheme="minorHAnsi" w:hAnsiTheme="minorHAnsi" w:cstheme="minorHAnsi"/>
          <w:sz w:val="18"/>
          <w:szCs w:val="22"/>
          <w:lang w:val="en-GB"/>
        </w:rPr>
        <w:t>1995</w:t>
      </w:r>
      <w:r w:rsidR="008C6BFF" w:rsidRPr="003867B1">
        <w:rPr>
          <w:rFonts w:asciiTheme="minorHAnsi" w:hAnsiTheme="minorHAnsi" w:cstheme="minorHAnsi"/>
          <w:sz w:val="18"/>
          <w:szCs w:val="22"/>
          <w:lang w:val="en-GB"/>
        </w:rPr>
        <w:t>).</w:t>
      </w:r>
      <w:r w:rsidRPr="003867B1">
        <w:rPr>
          <w:rFonts w:asciiTheme="minorHAnsi" w:hAnsiTheme="minorHAnsi" w:cstheme="minorHAnsi"/>
          <w:sz w:val="18"/>
          <w:szCs w:val="22"/>
          <w:lang w:val="en-GB"/>
        </w:rPr>
        <w:t xml:space="preserve"> Population dynamics and functional roles of Enchytraeidae (Oligochaeta) in hardwood forest and agricultural ecosystems. Plant Soil, 170, 199-207</w:t>
      </w:r>
      <w:r w:rsidR="008C6BFF" w:rsidRPr="003867B1">
        <w:rPr>
          <w:rFonts w:asciiTheme="minorHAnsi" w:hAnsiTheme="minorHAnsi" w:cstheme="minorHAnsi"/>
          <w:sz w:val="18"/>
          <w:szCs w:val="22"/>
          <w:lang w:val="en-GB"/>
        </w:rPr>
        <w:t>.</w:t>
      </w:r>
    </w:p>
    <w:sectPr w:rsidR="00746718" w:rsidRPr="003867B1" w:rsidSect="003867B1">
      <w:pgSz w:w="11906" w:h="16838"/>
      <w:pgMar w:top="964" w:right="964" w:bottom="964" w:left="964"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59E9544" w16cid:durableId="28B7CDA9"/>
  <w16cid:commentId w16cid:paraId="247535E0" w16cid:durableId="28B6A14E"/>
  <w16cid:commentId w16cid:paraId="3FA098F5" w16cid:durableId="28B6A14F"/>
  <w16cid:commentId w16cid:paraId="50647BC7" w16cid:durableId="28B6A27E"/>
  <w16cid:commentId w16cid:paraId="0F18CCE4" w16cid:durableId="28B6A150"/>
  <w16cid:commentId w16cid:paraId="09D0B523" w16cid:durableId="28B6A18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AF3457"/>
    <w:multiLevelType w:val="multilevel"/>
    <w:tmpl w:val="6B8AE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0DE4E5C"/>
    <w:multiLevelType w:val="multilevel"/>
    <w:tmpl w:val="D8D61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AEC"/>
    <w:rsid w:val="00050597"/>
    <w:rsid w:val="00213905"/>
    <w:rsid w:val="00281251"/>
    <w:rsid w:val="002B1619"/>
    <w:rsid w:val="00307DDD"/>
    <w:rsid w:val="00336A82"/>
    <w:rsid w:val="003867B1"/>
    <w:rsid w:val="003875BA"/>
    <w:rsid w:val="00475DE1"/>
    <w:rsid w:val="0062148B"/>
    <w:rsid w:val="00683AEC"/>
    <w:rsid w:val="00746718"/>
    <w:rsid w:val="008B53FA"/>
    <w:rsid w:val="008C6BFF"/>
    <w:rsid w:val="00AE42DE"/>
    <w:rsid w:val="00B915BF"/>
    <w:rsid w:val="00BF72CE"/>
    <w:rsid w:val="00C9437F"/>
    <w:rsid w:val="00D3795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25901"/>
  <w15:chartTrackingRefBased/>
  <w15:docId w15:val="{518301BA-02E8-48D6-9184-B5857C9DF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rzxr">
    <w:name w:val="lrzxr"/>
    <w:basedOn w:val="Policepardfaut"/>
    <w:rsid w:val="00683AEC"/>
  </w:style>
  <w:style w:type="character" w:styleId="Lienhypertexte">
    <w:name w:val="Hyperlink"/>
    <w:basedOn w:val="Policepardfaut"/>
    <w:uiPriority w:val="99"/>
    <w:unhideWhenUsed/>
    <w:rsid w:val="00683AEC"/>
    <w:rPr>
      <w:color w:val="0563C1" w:themeColor="hyperlink"/>
      <w:u w:val="single"/>
    </w:rPr>
  </w:style>
  <w:style w:type="paragraph" w:styleId="Notedebasdepage">
    <w:name w:val="footnote text"/>
    <w:basedOn w:val="Normal"/>
    <w:link w:val="NotedebasdepageCar"/>
    <w:uiPriority w:val="99"/>
    <w:rsid w:val="00BF72CE"/>
    <w:pPr>
      <w:spacing w:after="0" w:line="240" w:lineRule="auto"/>
    </w:pPr>
    <w:rPr>
      <w:rFonts w:ascii="Times New Roman" w:eastAsia="Times New Roman" w:hAnsi="Times New Roman" w:cs="Times New Roman"/>
      <w:sz w:val="20"/>
      <w:szCs w:val="20"/>
      <w:lang w:eastAsia="fr-FR"/>
    </w:rPr>
  </w:style>
  <w:style w:type="character" w:customStyle="1" w:styleId="NotedebasdepageCar">
    <w:name w:val="Note de bas de page Car"/>
    <w:basedOn w:val="Policepardfaut"/>
    <w:link w:val="Notedebasdepage"/>
    <w:uiPriority w:val="99"/>
    <w:rsid w:val="00BF72CE"/>
    <w:rPr>
      <w:rFonts w:ascii="Times New Roman" w:eastAsia="Times New Roman" w:hAnsi="Times New Roman" w:cs="Times New Roman"/>
      <w:sz w:val="20"/>
      <w:szCs w:val="20"/>
      <w:lang w:eastAsia="fr-FR"/>
    </w:rPr>
  </w:style>
  <w:style w:type="paragraph" w:styleId="Commentaire">
    <w:name w:val="annotation text"/>
    <w:basedOn w:val="Normal"/>
    <w:link w:val="CommentaireCar"/>
    <w:uiPriority w:val="99"/>
    <w:unhideWhenUsed/>
    <w:rsid w:val="00BF72CE"/>
    <w:pPr>
      <w:spacing w:after="200" w:line="240" w:lineRule="auto"/>
    </w:pPr>
    <w:rPr>
      <w:rFonts w:ascii="Calibri" w:eastAsia="Calibri" w:hAnsi="Calibri" w:cs="Times New Roman"/>
      <w:sz w:val="24"/>
      <w:szCs w:val="24"/>
    </w:rPr>
  </w:style>
  <w:style w:type="character" w:customStyle="1" w:styleId="CommentaireCar">
    <w:name w:val="Commentaire Car"/>
    <w:basedOn w:val="Policepardfaut"/>
    <w:link w:val="Commentaire"/>
    <w:uiPriority w:val="99"/>
    <w:rsid w:val="00BF72CE"/>
    <w:rPr>
      <w:rFonts w:ascii="Calibri" w:eastAsia="Calibri" w:hAnsi="Calibri" w:cs="Times New Roman"/>
      <w:sz w:val="24"/>
      <w:szCs w:val="24"/>
    </w:rPr>
  </w:style>
  <w:style w:type="character" w:styleId="Marquedecommentaire">
    <w:name w:val="annotation reference"/>
    <w:basedOn w:val="Policepardfaut"/>
    <w:uiPriority w:val="99"/>
    <w:semiHidden/>
    <w:unhideWhenUsed/>
    <w:rsid w:val="00213905"/>
    <w:rPr>
      <w:sz w:val="16"/>
      <w:szCs w:val="16"/>
    </w:rPr>
  </w:style>
  <w:style w:type="paragraph" w:styleId="Objetducommentaire">
    <w:name w:val="annotation subject"/>
    <w:basedOn w:val="Commentaire"/>
    <w:next w:val="Commentaire"/>
    <w:link w:val="ObjetducommentaireCar"/>
    <w:uiPriority w:val="99"/>
    <w:semiHidden/>
    <w:unhideWhenUsed/>
    <w:rsid w:val="00213905"/>
    <w:pPr>
      <w:spacing w:after="160"/>
    </w:pPr>
    <w:rPr>
      <w:rFonts w:asciiTheme="minorHAnsi" w:eastAsiaTheme="minorHAnsi" w:hAnsiTheme="minorHAnsi" w:cstheme="minorBidi"/>
      <w:b/>
      <w:bCs/>
      <w:sz w:val="20"/>
      <w:szCs w:val="20"/>
    </w:rPr>
  </w:style>
  <w:style w:type="character" w:customStyle="1" w:styleId="ObjetducommentaireCar">
    <w:name w:val="Objet du commentaire Car"/>
    <w:basedOn w:val="CommentaireCar"/>
    <w:link w:val="Objetducommentaire"/>
    <w:uiPriority w:val="99"/>
    <w:semiHidden/>
    <w:rsid w:val="00213905"/>
    <w:rPr>
      <w:rFonts w:ascii="Calibri" w:eastAsia="Calibri" w:hAnsi="Calibri" w:cs="Times New Roman"/>
      <w:b/>
      <w:bCs/>
      <w:sz w:val="20"/>
      <w:szCs w:val="20"/>
    </w:rPr>
  </w:style>
  <w:style w:type="paragraph" w:styleId="Textedebulles">
    <w:name w:val="Balloon Text"/>
    <w:basedOn w:val="Normal"/>
    <w:link w:val="TextedebullesCar"/>
    <w:uiPriority w:val="99"/>
    <w:semiHidden/>
    <w:unhideWhenUsed/>
    <w:rsid w:val="0021390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13905"/>
    <w:rPr>
      <w:rFonts w:ascii="Segoe UI" w:hAnsi="Segoe UI" w:cs="Segoe UI"/>
      <w:sz w:val="18"/>
      <w:szCs w:val="18"/>
    </w:rPr>
  </w:style>
  <w:style w:type="character" w:customStyle="1" w:styleId="hlfld-contribauthor">
    <w:name w:val="hlfld-contribauthor"/>
    <w:basedOn w:val="Policepardfaut"/>
    <w:rsid w:val="00336A82"/>
  </w:style>
  <w:style w:type="character" w:styleId="lev">
    <w:name w:val="Strong"/>
    <w:basedOn w:val="Policepardfaut"/>
    <w:uiPriority w:val="22"/>
    <w:qFormat/>
    <w:rsid w:val="00336A82"/>
    <w:rPr>
      <w:b/>
      <w:bCs/>
    </w:rPr>
  </w:style>
  <w:style w:type="character" w:customStyle="1" w:styleId="comma-separator">
    <w:name w:val="comma-separator"/>
    <w:basedOn w:val="Policepardfaut"/>
    <w:rsid w:val="00336A82"/>
  </w:style>
  <w:style w:type="character" w:customStyle="1" w:styleId="hover-cursor-pointer">
    <w:name w:val="hover-cursor-pointer"/>
    <w:basedOn w:val="Policepardfaut"/>
    <w:rsid w:val="00336A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2042436">
      <w:bodyDiv w:val="1"/>
      <w:marLeft w:val="0"/>
      <w:marRight w:val="0"/>
      <w:marTop w:val="0"/>
      <w:marBottom w:val="0"/>
      <w:divBdr>
        <w:top w:val="none" w:sz="0" w:space="0" w:color="auto"/>
        <w:left w:val="none" w:sz="0" w:space="0" w:color="auto"/>
        <w:bottom w:val="none" w:sz="0" w:space="0" w:color="auto"/>
        <w:right w:val="none" w:sz="0" w:space="0" w:color="auto"/>
      </w:divBdr>
      <w:divsChild>
        <w:div w:id="771441440">
          <w:marLeft w:val="0"/>
          <w:marRight w:val="0"/>
          <w:marTop w:val="0"/>
          <w:marBottom w:val="0"/>
          <w:divBdr>
            <w:top w:val="none" w:sz="0" w:space="0" w:color="auto"/>
            <w:left w:val="none" w:sz="0" w:space="0" w:color="auto"/>
            <w:bottom w:val="none" w:sz="0" w:space="0" w:color="auto"/>
            <w:right w:val="none" w:sz="0" w:space="0" w:color="auto"/>
          </w:divBdr>
        </w:div>
      </w:divsChild>
    </w:div>
    <w:div w:id="1415665604">
      <w:bodyDiv w:val="1"/>
      <w:marLeft w:val="0"/>
      <w:marRight w:val="0"/>
      <w:marTop w:val="0"/>
      <w:marBottom w:val="0"/>
      <w:divBdr>
        <w:top w:val="none" w:sz="0" w:space="0" w:color="auto"/>
        <w:left w:val="none" w:sz="0" w:space="0" w:color="auto"/>
        <w:bottom w:val="none" w:sz="0" w:space="0" w:color="auto"/>
        <w:right w:val="none" w:sz="0" w:space="0" w:color="auto"/>
      </w:divBdr>
    </w:div>
    <w:div w:id="1594195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microsoft.com/office/2016/09/relationships/commentsIds" Target="commentsIds.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laure.vieuble@agroparistech.fr" TargetMode="External"/><Relationship Id="rId4" Type="http://schemas.openxmlformats.org/officeDocument/2006/relationships/webSettings" Target="webSettings.xml"/><Relationship Id="rId9" Type="http://schemas.openxmlformats.org/officeDocument/2006/relationships/hyperlink" Target="mailto:juliette.fabure@agroparistech.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1578</Words>
  <Characters>8680</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INRA UMR ECOSYS Thiverval Grignon</Company>
  <LinksUpToDate>false</LinksUpToDate>
  <CharactersWithSpaces>10238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 Vieuble</dc:creator>
  <cp:keywords/>
  <dc:description/>
  <cp:lastModifiedBy>Laure Vieuble</cp:lastModifiedBy>
  <cp:revision>2</cp:revision>
  <dcterms:created xsi:type="dcterms:W3CDTF">2023-09-24T10:35:00Z</dcterms:created>
  <dcterms:modified xsi:type="dcterms:W3CDTF">2023-09-24T10:35:00Z</dcterms:modified>
</cp:coreProperties>
</file>